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 BewG — Bewertungsstichtag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Größe des Betriebs, für den Umfang und den Zustand der Gebäude sowie für die stehenden Betriebsmittel sind die Verhältnisse am Bewertungsstichtag maßgebend.</w:t>
      </w:r>
    </w:p>
    <w:p>
      <w:r>
        <w:t xml:space="preserve">(2) Für die umlaufenden Betriebsmittel ist der Stand am Ende des Wirtschaftsjahres maßgebend, das dem Bewertungsstichtag vorangegangen ist.</w:t>
      </w:r>
    </w:p>
    <w:p>
      <w:r>
        <w:rPr>
          <w:color w:val="555555"/>
          <w:sz w:val="17"/>
        </w:rPr>
        <w:t xml:space="preserve">Zitiervorschlag: § 161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