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160 BewG — Betrieb der Land- und Forstwirtschaft</w:t>
      </w:r>
    </w:p>
    <w:p>
      <w:r>
        <w:rPr>
          <w:color w:val="555555"/>
          <w:sz w:val="18"/>
        </w:rPr>
        <w:t xml:space="preserve">Bewertungsgesetz</w:t>
      </w:r>
    </w:p>
    <w:p>
      <w:r>
        <w:rPr>
          <w:color w:val="555555"/>
          <w:sz w:val="18"/>
        </w:rPr>
        <w:t xml:space="preserve">Stand: 01.01.2025 (konsolidierte Textfassung, kein amtliches Inkrafttretensdatum)</w:t>
      </w:r>
    </w:p>
    <w:p>
      <w:r>
        <w:t xml:space="preserve">(1) Ein Betrieb der Land- und Forstwirtschaft umfasst</w:t>
      </w:r>
    </w:p>
    <w:p>
      <w:pPr>
        <w:ind w:left="420"/>
      </w:pPr>
      <w:r>
        <w:t xml:space="preserve">1. den Wirtschaftsteil,</w:t>
      </w:r>
    </w:p>
    <w:p>
      <w:pPr>
        <w:ind w:left="420"/>
      </w:pPr>
      <w:r>
        <w:t xml:space="preserve">2. die Betriebswohnungen und</w:t>
      </w:r>
    </w:p>
    <w:p>
      <w:pPr>
        <w:ind w:left="420"/>
      </w:pPr>
      <w:r>
        <w:t xml:space="preserve">3. den Wohnteil.</w:t>
      </w:r>
    </w:p>
    <w:p>
      <w:r>
        <w:t xml:space="preserve">(2) Der Wirtschaftsteil eines Betriebs der Land- und Forstwirtschaft umfasst</w:t>
      </w:r>
    </w:p>
    <w:p>
      <w:pPr>
        <w:ind w:left="420"/>
      </w:pPr>
      <w:r>
        <w:t xml:space="preserve">1. die land- und forstwirtschaftlichen Nutzungen:</w:t>
      </w:r>
    </w:p>
    <w:p>
      <w:pPr>
        <w:ind w:left="780"/>
      </w:pPr>
      <w:r>
        <w:t xml:space="preserve">a) die landwirtschaftliche Nutzung,</w:t>
      </w:r>
    </w:p>
    <w:p>
      <w:pPr>
        <w:ind w:left="780"/>
      </w:pPr>
      <w:r>
        <w:t xml:space="preserve">b) die forstwirtschaftliche Nutzung,</w:t>
      </w:r>
    </w:p>
    <w:p>
      <w:pPr>
        <w:ind w:left="780"/>
      </w:pPr>
      <w:r>
        <w:t xml:space="preserve">c) die weinbauliche Nutzung,</w:t>
      </w:r>
    </w:p>
    <w:p>
      <w:pPr>
        <w:ind w:left="780"/>
      </w:pPr>
      <w:r>
        <w:t xml:space="preserve">d) die gärtnerische Nutzung,</w:t>
      </w:r>
    </w:p>
    <w:p>
      <w:pPr>
        <w:ind w:left="780"/>
      </w:pPr>
      <w:r>
        <w:t xml:space="preserve">e) die übrigen land- und forstwirtschaftlichen Nutzungen,</w:t>
      </w:r>
    </w:p>
    <w:p>
      <w:pPr>
        <w:ind w:left="420"/>
      </w:pPr>
      <w:r>
        <w:t xml:space="preserve">2. die Nebenbetriebe,</w:t>
      </w:r>
    </w:p>
    <w:p>
      <w:pPr>
        <w:ind w:left="420"/>
      </w:pPr>
      <w:r>
        <w:t xml:space="preserve">3. die folgenden nicht zu einer Nutzung nach den Nummern 1 und 2 gehörenden Wirtschaftsgüter:</w:t>
      </w:r>
    </w:p>
    <w:p>
      <w:pPr>
        <w:ind w:left="780"/>
      </w:pPr>
      <w:r>
        <w:t xml:space="preserve">a) Abbauland,</w:t>
      </w:r>
    </w:p>
    <w:p>
      <w:pPr>
        <w:ind w:left="780"/>
      </w:pPr>
      <w:r>
        <w:t xml:space="preserve">b) Geringstland,</w:t>
      </w:r>
    </w:p>
    <w:p>
      <w:pPr>
        <w:ind w:left="780"/>
      </w:pPr>
      <w:r>
        <w:t xml:space="preserve">c) Unland.</w:t>
      </w:r>
    </w:p>
    <w:p>
      <w:r>
        <w:t xml:space="preserve">Der Anbau von Hopfen, Tabak und Spargel gehört nur zu den Sondernutzungen, wenn keine landwirtschaftliche Nutzung im Sinne des Satzes 1 Nr. 1 Buchstabe a vorliegt.</w:t>
      </w:r>
    </w:p>
    <w:p>
      <w:r>
        <w:t xml:space="preserve">(3) Nebenbetriebe sind Betriebe, die dem Hauptbetrieb zu dienen bestimmt sind und nicht einen selbständigen gewerblichen Betrieb darstellen.</w:t>
      </w:r>
    </w:p>
    <w:p>
      <w:r>
        <w:t xml:space="preserve">(4) Zum Abbauland gehören die Betriebsflächen, die durch Abbau der Bodensubstanz überwiegend für den Betrieb der Land- und Forstwirtschaft nutzbar gemacht werden (Sand-, Kies-, Lehmgruben, Steinbrüche, Torfstiche und dergleichen).</w:t>
      </w:r>
    </w:p>
    <w:p>
      <w:r>
        <w:t xml:space="preserve">(5) Zum Geringstland gehören die Betriebsflächen geringster Ertragsfähigkeit, für die nach dem Bodenschätzungsgesetz vom 20. Dezember 2007 (BGBl. I S. 3150, 3176) keine Wertzahlen festzustellen sind.</w:t>
      </w:r>
    </w:p>
    <w:p>
      <w:r>
        <w:t xml:space="preserve">(6) Zum Unland gehören die Betriebsflächen, die auch bei geordneter Wirtschaftsweise keinen Ertrag abwerfen können.</w:t>
      </w:r>
    </w:p>
    <w:p>
      <w:r>
        <w:t xml:space="preserve">(7) Einen Betrieb der Land- und Forstwirtschaft bilden auch Stückländereien, die als gesonderte wirtschaftliche Einheit zu bewerten sind. Stückländereien sind einzelne land- und forstwirtschaftlich genutzte Flächen, bei denen die Wirtschaftsgebäude oder die Betriebsmittel oder beide Arten von Wirtschaftsgütern nicht dem Eigentümer des Grund und Bodens gehören, sondern am Bewertungsstichtag für mindestens 15 Jahre einem anderen Betrieb der Land- und Forstwirtschaft zu dienen bestimmt sind.</w:t>
      </w:r>
    </w:p>
    <w:p>
      <w:r>
        <w:t xml:space="preserve">(8) Betriebswohnungen sind Wohnungen, die einem Betrieb der Land- und Forstwirtschaft zu dienen bestimmt, aber nicht dem Wohnteil zuzurechnen sind.</w:t>
      </w:r>
    </w:p>
    <w:p>
      <w:r>
        <w:t xml:space="preserve">(9) Der Wohnteil eines Betriebs der Land- und Forstwirtschaft umfasst die Gebäude und Gebäudeteile, die dem Inhaber des Betriebs, den zu seinem Haushalt gehörenden Familienangehörigen und den Altenteilern zu Wohnzwecken dienen.</w:t>
      </w:r>
    </w:p>
    <w:p>
      <w:r>
        <w:t xml:space="preserve">(10) Einen Betrieb der Land- und Forstwirtschaft bildet auch die gemeinschaftliche Tierhaltung (§ 13b des Einkommensteuergesetzes) einschließlich der hiermit zusammenhängenden Wirtschaftsgüter.</w:t>
      </w:r>
    </w:p>
    <w:p>
      <w:r>
        <w:rPr>
          <w:color w:val="555555"/>
          <w:sz w:val="17"/>
        </w:rPr>
        <w:t xml:space="preserve">Zitiervorschlag: § 160 BewG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https://recht.nulegal.eu/gesetze/BewG/160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