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BewG — Abgrenzung land- und forstwirtschaftlich genutzter Flächen zum Grundvermögen</w:t>
      </w:r>
    </w:p>
    <w:p>
      <w:r>
        <w:rPr>
          <w:color w:val="555555"/>
          <w:sz w:val="18"/>
        </w:rPr>
        <w:t xml:space="preserve">Bewertungsgesetz</w:t>
      </w:r>
    </w:p>
    <w:p>
      <w:r>
        <w:rPr>
          <w:color w:val="555555"/>
          <w:sz w:val="18"/>
        </w:rPr>
        <w:t xml:space="preserve">Stand: 10.06.2019 (konsolidierte Textfassung, kein amtliches Inkrafttretensdatum)</w:t>
      </w:r>
    </w:p>
    <w:p>
      <w:r>
        <w:t xml:space="preserve">(1) Land- und forstwirtschaftlich genutzte Flächen sind dem Grundvermögen zuzurechnen, wenn nach ihrer Lage, den am Bewertungsstichtag bestehenden Verwertungsmöglichkeiten oder den sonstigen Umständen anzunehmen ist, dass sie in absehbarer Zeit anderen als land- und forstwirtschaftlichen Zwecken, insbesondere als Bauland, Industrieland oder Land für Verkehrszwecke, dienen werden.</w:t>
      </w:r>
    </w:p>
    <w:p>
      <w:r>
        <w:t xml:space="preserve">(2) Bildet ein Betrieb der Land- und Forstwirtschaft die Existenzgrundlage des Betriebsinhabers, so sind dem Betriebsinhaber gehörende Flächen, die von einer Stelle aus ordnungsgemäß nachhaltig bewirtschaftet werden, dem Grundvermögen nur dann zuzurechnen, wenn mit großer Wahrscheinlichkeit anzunehmen ist, dass sie spätestens nach zwei Jahren anderen als land- und forstwirtschaftlichen Zwecken dienen werden.</w:t>
      </w:r>
    </w:p>
    <w:p>
      <w:r>
        <w:t xml:space="preserve">(3) Flächen sind stets dem Grundvermögen zuzurechnen, wenn sie in einem Bebauungsplan als Bauland festgesetzt sind, ihre sofortige Bebauung möglich ist und die Bebauung innerhalb des Plangebiets in benachbarten Bereichen begonnen hat oder schon durchgeführt ist. Satz 1 gilt nicht für die Hofstelle und für andere Flächen in unmittelbarem räumlichen Zusammenhang mit der Hofstelle bis zu einer Größe von insgesamt 1 Hektar.</w:t>
      </w:r>
    </w:p>
    <w:p>
      <w:r>
        <w:rPr>
          <w:color w:val="555555"/>
          <w:sz w:val="17"/>
        </w:rPr>
        <w:t xml:space="preserve">Zitiervorschlag: § 159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