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BewG — Begriff des land- und forstwirtschaftlichen Vermögens</w:t>
      </w:r>
    </w:p>
    <w:p>
      <w:r>
        <w:rPr>
          <w:color w:val="555555"/>
          <w:sz w:val="18"/>
        </w:rPr>
        <w:t xml:space="preserve">Bewertungsgesetz</w:t>
      </w:r>
    </w:p>
    <w:p>
      <w:r>
        <w:rPr>
          <w:color w:val="555555"/>
          <w:sz w:val="18"/>
        </w:rPr>
        <w:t xml:space="preserve">Stand: 12.12.2024 (konsolidierte Textfassung, kein amtliches Inkrafttretensdatum)</w:t>
      </w:r>
    </w:p>
    <w:p>
      <w:r>
        <w:t xml:space="preserve">(1) Land- und Forstwirtschaft ist die planmäßige Nutzung der natürlichen Kräfte des Bodens zur Erzeugung von Pflanzen und Tieren sowie die Verwertung der dadurch selbst gewonnenen Erzeugnisse. Zum land- und forstwirtschaftlichen Vermögen gehören alle Wirtschaftgüter, die einem Betrieb der Land- und Forstwirtschaft zu diesem Zweck auf Dauer zu dienen bestimmt sind.</w:t>
      </w:r>
    </w:p>
    <w:p>
      <w:r>
        <w:t xml:space="preserve">(2) Die wirtschaftliche Einheit des land- und forstwirtschaftlichen Vermögens ist der Betrieb der Land- und Forstwirtschaft. Wird ein Betrieb der Land- und Forstwirtschaft in Form einer Personengesellschaft oder Gemeinschaft geführt, sind in die wirtschaftliche Einheit auch die Wirtschaftsgüter einzubeziehen, die einem oder mehreren Beteiligten gehören, wenn sie dem Betrieb der Land- und Forstwirtschaft auf Dauer zu dienen bestimmt sind. Wird der Betrieb der Land- und Forstwirtschaft oder werden Teile davon einem anderen Berechtigten zur Erzeugung von Pflanzen und Tieren sowie zur Verwertung der dadurch selbst gewonnenen Erzeugnisse überlassen, so gilt dies als Fortsetzung der land- und forstwirtschaftlichen Tätigkeit des Überlassenden. Der Einordnung als Betrieb der Land- und Forstwirtschaft steht nicht entgegen, dass er aus einer oder einzelnen land- und forstwirtschaftlich genutzten Flächen gebildet wird, bei denen die Wirtschaftsgebäude oder die Betriebsmittel oder beide Arten von Wirtschaftsgütern nicht dem Eigentümer des Grund und Bodens gehören und diese anderen Betrieben der Land- und Forstwirtschaft auf Dauer zu dienen bestimmt sind.</w:t>
      </w:r>
    </w:p>
    <w:p>
      <w:r>
        <w:t xml:space="preserve">(3) Zu den Wirtschaftsgütern, die der wirtschaftlichen Einheit Betrieb der Land- und Forstwirtschaft zu dienen bestimmt sind, gehören insbesondere</w:t>
      </w:r>
    </w:p>
    <w:p>
      <w:pPr>
        <w:ind w:left="420"/>
      </w:pPr>
      <w:r>
        <w:t xml:space="preserve">1. der Grund und Boden,</w:t>
      </w:r>
    </w:p>
    <w:p>
      <w:pPr>
        <w:ind w:left="420"/>
      </w:pPr>
      <w:r>
        <w:t xml:space="preserve">2. die Wirtschaftsgebäude,</w:t>
      </w:r>
    </w:p>
    <w:p>
      <w:pPr>
        <w:ind w:left="420"/>
      </w:pPr>
      <w:r>
        <w:t xml:space="preserve">3. die stehenden Betriebsmittel,</w:t>
      </w:r>
    </w:p>
    <w:p>
      <w:pPr>
        <w:ind w:left="420"/>
      </w:pPr>
      <w:r>
        <w:t xml:space="preserve">4. der normale Bestand an umlaufenden Betriebsmitteln,</w:t>
      </w:r>
    </w:p>
    <w:p>
      <w:pPr>
        <w:ind w:left="420"/>
      </w:pPr>
      <w:r>
        <w:t xml:space="preserve">5. die immateriellen Wirtschaftsgüter,</w:t>
      </w:r>
    </w:p>
    <w:p>
      <w:pPr>
        <w:ind w:left="420"/>
      </w:pPr>
      <w:r>
        <w:t xml:space="preserve">6. die Wohngebäude und der dazugehörende Grund und Boden.</w:t>
      </w:r>
    </w:p>
    <w:p>
      <w:r>
        <w:t xml:space="preserve">Als normaler Bestand an umlaufenden Betriebsmitteln gilt ein solcher, der zur gesicherten Fortführung des Betriebs erforderlich ist.</w:t>
      </w:r>
    </w:p>
    <w:p>
      <w:r>
        <w:t xml:space="preserve">(4) Zum land- und forstwirtschaftlichen Vermögen gehören nicht</w:t>
      </w:r>
    </w:p>
    <w:p>
      <w:pPr>
        <w:ind w:left="420"/>
      </w:pPr>
      <w:r>
        <w:t xml:space="preserve">1. Grund und Boden sowie Gebäude und Gebäudeteile, die nicht land- und forstwirtschaftlichen Zwecken dienen,</w:t>
      </w:r>
    </w:p>
    <w:p>
      <w:pPr>
        <w:ind w:left="420"/>
      </w:pPr>
      <w:r>
        <w:t xml:space="preserve">2. Kleingartenland und Dauerkleingartenland,</w:t>
      </w:r>
    </w:p>
    <w:p>
      <w:pPr>
        <w:ind w:left="420"/>
      </w:pPr>
      <w:r>
        <w:t xml:space="preserve">3. Geschäftsguthaben, Wertpapiere und Beteiligungen,</w:t>
      </w:r>
    </w:p>
    <w:p>
      <w:pPr>
        <w:ind w:left="420"/>
      </w:pPr>
      <w:r>
        <w:t xml:space="preserve">4. über den normalen Bestand hinausgehende Bestände an umlaufenden Betriebsmitteln,</w:t>
      </w:r>
    </w:p>
    <w:p>
      <w:pPr>
        <w:ind w:left="420"/>
      </w:pPr>
      <w:r>
        <w:t xml:space="preserve">5. Tierbestände oder Zweige des Tierbestands und die hiermit zusammenhängenden Wirtschaftsgüter (zum Beispiel Gebäude und abgrenzbare Gebäudeteile mit den dazugehörenden Flächen, Betriebsmittel), wenn die Tiere weder zur landwirtschaftlichen Nutzung noch nach § 175 zu den übrigen land- und forstwirtschaftlichen Nutzungen gehören. Die Zugehörigkeit der landwirtschaftlich genutzten Flächen zum land- und forstwirtschaftlichen Vermögen wird hierdurch nicht berührt,</w:t>
      </w:r>
    </w:p>
    <w:p>
      <w:pPr>
        <w:ind w:left="420"/>
      </w:pPr>
      <w:r>
        <w:t xml:space="preserve">6. Geldforderungen und Zahlungsmittel,</w:t>
      </w:r>
    </w:p>
    <w:p>
      <w:pPr>
        <w:ind w:left="420"/>
      </w:pPr>
      <w:r>
        <w:t xml:space="preserve">7. Pensionsverpflichtungen.</w:t>
      </w:r>
    </w:p>
    <w:p>
      <w:r>
        <w:t xml:space="preserve">(5) Verbindlichkeiten gehören zum land- und forstwirtschaftlichen Vermögen, soweit sie nicht im unmittelbaren wirtschaftlichen Zusammenhang mit den in Absatz 4 genannten Wirtschaftsgütern stehen.</w:t>
      </w:r>
    </w:p>
    <w:p>
      <w:r>
        <w:rPr>
          <w:color w:val="555555"/>
          <w:sz w:val="17"/>
        </w:rPr>
        <w:t xml:space="preserve">Zitiervorschlag: § 158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