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157 BewG — Feststellung von Grundbesitzwerten, von Anteilswerten und von Betriebsvermögenswerten</w:t>
      </w:r>
    </w:p>
    <w:p>
      <w:r>
        <w:rPr>
          <w:color w:val="555555"/>
          <w:sz w:val="18"/>
        </w:rPr>
        <w:t xml:space="preserve">Bewertungsgesetz</w:t>
      </w:r>
    </w:p>
    <w:p>
      <w:r>
        <w:rPr>
          <w:color w:val="555555"/>
          <w:sz w:val="18"/>
        </w:rPr>
        <w:t xml:space="preserve">Stand: 01.01.2025 (konsolidierte Textfassung, kein amtliches Inkrafttretensdatum)</w:t>
      </w:r>
    </w:p>
    <w:p>
      <w:r>
        <w:t xml:space="preserve">(1) Grundbesitzwerte werden unter Berücksichtigung der tatsächlichen Verhältnisse und der Wertverhältnisse zum Bewertungsstichtag für inländischen Grundbesitz, und zwar für Betriebe der Land- und Forstwirtschaft, für Grundstücke und für Betriebsgrundstücke, festgestellt. § 229 gilt für die Grundbesitzbewertung sinngemäß.</w:t>
      </w:r>
    </w:p>
    <w:p>
      <w:r>
        <w:t xml:space="preserve">(2) Für die wirtschaftlichen Einheiten des land- und forstwirtschaftlichen Vermögens und für Betriebsgrundstücke im Sinne des § 99 Abs. 1 Nr. 2 sind die Grundbesitzwerte unter Anwendung der §§ 158 bis 175 zu ermitteln.</w:t>
      </w:r>
    </w:p>
    <w:p>
      <w:r>
        <w:t xml:space="preserve">(3) Für die wirtschaftlichen Einheiten des Grundvermögens und für Betriebsgrundstücke im Sinne des § 99 Abs. 1 Nr. 1 sind die Grundbesitzwerte unter Anwendung der §§ 159 und 176 bis 198 zu ermitteln. § 70 gilt mit der Maßgabe, dass der Anteil des Eigentümers eines Grundstücks an anderem Grundvermögen (zum Beispiel an gemeinschaftlichen Hofflächen oder Garagen) abweichend von Absatz 2 Satz 1 dieser Vorschrift in das Grundstück einzubeziehen ist, wenn der Anteil zusammen mit dem Grundstück genutzt wird. § 20 ist entsprechend anzuwenden.</w:t>
      </w:r>
    </w:p>
    <w:p>
      <w:r>
        <w:t xml:space="preserve">(4) Der Wert von Anteilen an Kapitalgesellschaften im Sinne des § 11 Abs. 2 Satz 2 (Anteilswert) wird unter Berücksichtigung der tatsächlichen Verhältnisse und der Wertverhältnisse zum Bewertungsstichtag festgestellt. Der Anteilswert ist unter Anwendung des § 11 Abs. 2 zu ermitteln.</w:t>
      </w:r>
    </w:p>
    <w:p>
      <w:r>
        <w:t xml:space="preserve">(5) Der Wert von Betriebsvermögen oder des Anteils am Betriebsvermögen im Sinne der §§ 95, 96 und 97 (Betriebsvermögenswert) wird unter Berücksichtigung der tatsächlichen Verhältnisse und der Wertverhältnisse zum Bewertungsstichtag festgestellt. Der Betriebsvermögenswert ist unter Anwendung des § 109 Abs. 1 und 2 in Verbindung mit § 11 Abs. 2 zu ermitteln.</w:t>
      </w:r>
    </w:p>
    <w:p>
      <w:r>
        <w:rPr>
          <w:color w:val="555555"/>
          <w:sz w:val="17"/>
        </w:rPr>
        <w:t xml:space="preserve">Zitiervorschlag: § 157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