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154 BewG — Beteiligte am Feststellungsverfahren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06.01.2024 (konsolidierte Textfassung, kein amtliches Inkrafttretensdatum)</w:t>
      </w:r>
    </w:p>
    <w:p>
      <w:r>
        <w:t xml:space="preserve">(1) Am Feststellungsverfahren sind beteiligt</w:t>
      </w:r>
    </w:p>
    <w:p>
      <w:pPr>
        <w:ind w:left="420"/>
      </w:pPr>
      <w:r>
        <w:t xml:space="preserve">1. diejenigen, denen der Gegenstand der Feststellung zuzurechnen ist,</w:t>
      </w:r>
    </w:p>
    <w:p>
      <w:pPr>
        <w:ind w:left="420"/>
      </w:pPr>
      <w:r>
        <w:t xml:space="preserve">2. diejenigen, die das Finanzamt zur Abgabe einer Feststellungserklärung aufgefordert hat;</w:t>
      </w:r>
    </w:p>
    <w:p>
      <w:pPr>
        <w:ind w:left="420"/>
      </w:pPr>
      <w:r>
        <w:t xml:space="preserve">3. diejenigen, die eine Steuer als Schuldner oder Gesamtschuldner schulden und für deren Festsetzung die Feststellung von Bedeutung ist.</w:t>
      </w:r>
    </w:p>
    <w:p>
      <w:r>
        <w:t xml:space="preserve">Gegenüber mehreren Beteiligten nach Satz 1 erfolgt eine gesonderte und einheitliche Feststellung (§ 179 Absatz 2 Satz 2 der Abgabenordnung).</w:t>
      </w:r>
    </w:p>
    <w:p>
      <w:r>
        <w:t xml:space="preserve">(2) In den Fällen des § 151 Abs. 1 Satz 1 Nr. 3 ist der Feststellungsbescheid auch der Kapitalgesellschaft bekannt zu geben.</w:t>
      </w:r>
    </w:p>
    <w:p>
      <w:r>
        <w:t xml:space="preserve">(3) Soweit der Gegenstand der Feststellung einer Erbengemeinschaft in Vertretung der Miterben zuzurechnen ist, ist § 183a der Abgabenordnung entsprechend anzuwenden. Bei der Bekanntgabe des Feststellungsbescheids ist darauf hinzuweisen, dass die Bekanntgabe mit Wirkung für und gegen alle Miterben erfolgt.</w:t>
      </w:r>
    </w:p>
    <w:p>
      <w:r>
        <w:rPr>
          <w:color w:val="555555"/>
          <w:sz w:val="17"/>
        </w:rPr>
        <w:t xml:space="preserve">Zitiervorschlag: § 154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https://recht.nulegal.eu/gesetze/BewG/154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