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148a BewG — Gebäude auf fremdem Grund und Boden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148a ist seit 01.01.2025 nicht mehr im BewG enthalten. Angezeigt wird die letzte bekannte Fassung, Stand 10.06.2019.</w:t>
      </w:r>
    </w:p>
    <w:p>
      <w:r>
        <w:t xml:space="preserve">(1) Bei Gebäuden auf fremdem Grund und Boden ist § 148 Abs. 1 entsprechend anzuwenden. Der Bodenwert ist dem Eigentümer des Grund und Bodens, der Gebäudewert dem Eigentümer des Gebäudes zuzurechnen.</w:t>
      </w:r>
    </w:p>
    <w:p>
      <w:r>
        <w:t xml:space="preserve">(2) § 148 Abs. 4 und 6 ist entsprechend anzuwenden.</w:t>
      </w:r>
    </w:p>
    <w:p>
      <w:r>
        <w:rPr>
          <w:color w:val="555555"/>
          <w:sz w:val="17"/>
        </w:rPr>
        <w:t xml:space="preserve">Zitiervorschlag: § 148a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https://recht.nulegal.eu/gesetze/BewG/148a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