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 BewG — Erbbaurecht</w:t>
      </w:r>
    </w:p>
    <w:p>
      <w:r>
        <w:rPr>
          <w:color w:val="555555"/>
          <w:sz w:val="18"/>
        </w:rPr>
        <w:t xml:space="preserve">Bewertungsgesetz</w:t>
      </w:r>
    </w:p>
    <w:p>
      <w:r>
        <w:rPr>
          <w:color w:val="555555"/>
          <w:sz w:val="18"/>
        </w:rPr>
        <w:t xml:space="preserve">Außer Kraft: § 148 ist seit 01.01.2025 nicht mehr im BewG enthalten. Angezeigt wird die letzte bekannte Fassung, Stand 10.06.2019.</w:t>
      </w:r>
    </w:p>
    <w:p>
      <w:r>
        <w:t xml:space="preserve">(1) Ist das Grundstück mit einem Erbbaurecht belastet, ist bei der Ermittlung der Grundbesitzwerte für die wirtschaftliche Einheit des belasteten Grundstücks und für die wirtschaftliche Einheit des Erbbaurechts von dem Gesamtwert auszugehen, der sich für den Grund und Boden einschließlich der Gebäude vor Anwendung des § 139 ergäbe, wenn die Belastung nicht bestünde.</w:t>
      </w:r>
    </w:p>
    <w:p>
      <w:r>
        <w:t xml:space="preserve">(2) Der Wert des Grund und Bodens entfällt auf die wirtschaftliche Einheit des belasteten Grundstücks.</w:t>
      </w:r>
    </w:p>
    <w:p>
      <w:r>
        <w:t xml:space="preserve">(3) Der Gebäudewert entfällt allein auf die wirtschaftliche Einheit des Erbbaurechts, wenn die Dauer dieses Rechts im Besteuerungszeitpunkt mindestens 40 Jahre beträgt oder der Eigentümer des belasteten Grundstücks bei Erlöschen des Erbbaurechts durch Zeitablauf eine dem Wert des Gebäudes entsprechende Entschädigung zu leisten hat. Beträgt die Dauer des Erbbaurechts im Besteuerungszeitpunkt weniger als 40 Jahre und ist eine Entschädigung ausgeschlossen, ist der Gebäudewert zu verteilen. Dabei entfallen auf die wirtschaftliche Einheit des Erbbaurechts bei einer Dauer dieses Rechts von</w:t>
      </w:r>
    </w:p>
    <w:p>
      <w:r>
        <w:rPr>
          <w:rFonts w:ascii="Courier New" w:hAnsi="Courier New"/>
          <w:sz w:val="17"/>
        </w:rPr>
        <w:t xml:space="preserve">unter 40 bis zu 35 Jahren    90 Prozent</w:t>
      </w:r>
    </w:p>
    <w:p>
      <w:r>
        <w:rPr>
          <w:rFonts w:ascii="Courier New" w:hAnsi="Courier New"/>
          <w:sz w:val="17"/>
        </w:rPr>
        <w:t xml:space="preserve">unter 35 bis zu 30 Jahren    85 Prozent</w:t>
      </w:r>
    </w:p>
    <w:p>
      <w:r>
        <w:rPr>
          <w:rFonts w:ascii="Courier New" w:hAnsi="Courier New"/>
          <w:sz w:val="17"/>
        </w:rPr>
        <w:t xml:space="preserve">unter 30 bis zu 25 Jahren    80 Prozent</w:t>
      </w:r>
    </w:p>
    <w:p>
      <w:r>
        <w:rPr>
          <w:rFonts w:ascii="Courier New" w:hAnsi="Courier New"/>
          <w:sz w:val="17"/>
        </w:rPr>
        <w:t xml:space="preserve">unter 25 bis zu 20 Jahren    70 Prozent</w:t>
      </w:r>
    </w:p>
    <w:p>
      <w:r>
        <w:rPr>
          <w:rFonts w:ascii="Courier New" w:hAnsi="Courier New"/>
          <w:sz w:val="17"/>
        </w:rPr>
        <w:t xml:space="preserve">unter 20 bis zu 15 Jahren    60 Prozent</w:t>
      </w:r>
    </w:p>
    <w:p>
      <w:r>
        <w:rPr>
          <w:rFonts w:ascii="Courier New" w:hAnsi="Courier New"/>
          <w:sz w:val="17"/>
        </w:rPr>
        <w:t xml:space="preserve">unter 15 bis zu 10 Jahren    50 Prozent</w:t>
      </w:r>
    </w:p>
    <w:p>
      <w:r>
        <w:rPr>
          <w:rFonts w:ascii="Courier New" w:hAnsi="Courier New"/>
          <w:sz w:val="17"/>
        </w:rPr>
        <w:t xml:space="preserve">unter 10 bis zu 8 Jahren    40 Prozent</w:t>
      </w:r>
    </w:p>
    <w:p>
      <w:r>
        <w:rPr>
          <w:rFonts w:ascii="Courier New" w:hAnsi="Courier New"/>
          <w:sz w:val="17"/>
        </w:rPr>
        <w:t xml:space="preserve">unter 8 bis zu 7 Jahren    35 Prozent</w:t>
      </w:r>
    </w:p>
    <w:p>
      <w:r>
        <w:rPr>
          <w:rFonts w:ascii="Courier New" w:hAnsi="Courier New"/>
          <w:sz w:val="17"/>
        </w:rPr>
        <w:t xml:space="preserve">unter 7 bis zu 6 Jahren    30 Prozent</w:t>
      </w:r>
    </w:p>
    <w:p>
      <w:r>
        <w:rPr>
          <w:rFonts w:ascii="Courier New" w:hAnsi="Courier New"/>
          <w:sz w:val="17"/>
        </w:rPr>
        <w:t xml:space="preserve">unter 6 bis zu 5 Jahren    25 Prozent</w:t>
      </w:r>
    </w:p>
    <w:p>
      <w:r>
        <w:rPr>
          <w:rFonts w:ascii="Courier New" w:hAnsi="Courier New"/>
          <w:sz w:val="17"/>
        </w:rPr>
        <w:t xml:space="preserve">unter 5 bis zu 4 Jahren    20 Prozent</w:t>
      </w:r>
    </w:p>
    <w:p>
      <w:r>
        <w:rPr>
          <w:rFonts w:ascii="Courier New" w:hAnsi="Courier New"/>
          <w:sz w:val="17"/>
        </w:rPr>
        <w:t xml:space="preserve">unter 4 bis zu 3 Jahren    15 Prozent</w:t>
      </w:r>
    </w:p>
    <w:p>
      <w:r>
        <w:rPr>
          <w:rFonts w:ascii="Courier New" w:hAnsi="Courier New"/>
          <w:sz w:val="17"/>
        </w:rPr>
        <w:t xml:space="preserve">unter 3 bis zu 2 Jahren    10 Prozent</w:t>
      </w:r>
    </w:p>
    <w:p>
      <w:r>
        <w:rPr>
          <w:rFonts w:ascii="Courier New" w:hAnsi="Courier New"/>
          <w:sz w:val="17"/>
        </w:rPr>
        <w:t xml:space="preserve">unter 2 Jahren bis zu 1 Jahr    5 Prozent</w:t>
      </w:r>
    </w:p>
    <w:p>
      <w:r>
        <w:rPr>
          <w:rFonts w:ascii="Courier New" w:hAnsi="Courier New"/>
          <w:sz w:val="17"/>
        </w:rPr>
        <w:t xml:space="preserve">unter 1 Jahr    0 Prozent.</w:t>
      </w:r>
    </w:p>
    <w:p>
      <w:r>
        <w:t xml:space="preserve">Auf die wirtschaftliche Einheit des belasteten Grundstücks entfällt der verbleibende Teil des Gebäudewerts. Beträgt die Entschädigung für das Gebäude beim Übergang nur einen Teil des gemeinen Werts, ist der dem Eigentümer des belasteten Grundstücks entschädigungslos zufallende Anteil entsprechend zu verteilen. Eine in der Höhe des Erbbauzinses zum Ausdruck kommende Entschädigung für den gemeinen Wert des Gebäudes bleibt außer Betracht.</w:t>
      </w:r>
    </w:p>
    <w:p>
      <w:r>
        <w:t xml:space="preserve">(4) Bei den nach § 146 zu bewertenden Grundstücken beträgt der Gebäudewert 80 Prozent des nach § 146 Abs. 2 bis 5 ermittelten Werts; der verbleibende Teil des Gesamtwerts entspricht dem Wert des Grund und Bodens. Bei bebauten Grundstücken im Sinne des § 147 Abs. 1 ist der Wert des Grund und Bodens nach § 147 Abs. 2 Satz 1 und der Gebäudewert nach § 147 Abs. 2 Satz 2 zu ermitteln.</w:t>
      </w:r>
    </w:p>
    <w:p>
      <w:r>
        <w:t xml:space="preserve">(5) Für Wohnungserbbaurechte oder Teilerbbaurechte gelten die Absätze 1 bis 4 entsprechend.</w:t>
      </w:r>
    </w:p>
    <w:p>
      <w:r>
        <w:t xml:space="preserve">(6) Das Recht auf den Erbbauzins wird weder als Bestandteil des Grundstücks noch als gesondertes Recht angesetzt; die Verpflichtung zur Zahlung des Erbbauzinses ist weder bei der Bewertung des Erbbaurechts noch als gesonderte Verpflichtung abzuziehen.</w:t>
      </w:r>
    </w:p>
    <w:p>
      <w:r>
        <w:rPr>
          <w:color w:val="555555"/>
          <w:sz w:val="17"/>
        </w:rPr>
        <w:t xml:space="preserve">Zitiervorschlag: § 148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