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144 BewG — Zusammensetzung des land- und forstwirtschaftlichen Grundbesitzwerts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144 ist seit 01.01.2025 nicht mehr im BewG enthalten. Angezeigt wird die letzte bekannte Fassung, Stand 10.06.2019.</w:t>
      </w:r>
    </w:p>
    <w:p>
      <w:r>
        <w:t xml:space="preserve">Der Betriebswert, der Wert der Betriebswohnungen und der Wert des Wohnteils bilden zusammen den land- und forstwirtschaftlichen Grundbesitzwert.</w:t>
      </w:r>
    </w:p>
    <w:p>
      <w:r>
        <w:rPr>
          <w:color w:val="555555"/>
          <w:sz w:val="17"/>
        </w:rPr>
        <w:t xml:space="preserve">Zitiervorschlag: § 144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https://recht.nulegal.eu/gesetze/BewG/144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