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BewG — Umfang des Betriebs der Land- und Forstwirtschaft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141 ist seit 01.01.2025 nicht mehr im BewG enthalten. Angezeigt wird die letzte bekannte Fassung, Stand 10.06.2019.</w:t>
      </w:r>
    </w:p>
    <w:p>
      <w:r>
        <w:t xml:space="preserve">(1) Der Betrieb der Land- und Forstwirtschaft umfaßt</w:t>
      </w:r>
    </w:p>
    <w:p>
      <w:pPr>
        <w:ind w:left="420"/>
      </w:pPr>
      <w:r>
        <w:t xml:space="preserve">1. den Betriebsteil,</w:t>
      </w:r>
    </w:p>
    <w:p>
      <w:pPr>
        <w:ind w:left="420"/>
      </w:pPr>
      <w:r>
        <w:t xml:space="preserve">2. die Betriebswohnungen,</w:t>
      </w:r>
    </w:p>
    <w:p>
      <w:pPr>
        <w:ind w:left="420"/>
      </w:pPr>
      <w:r>
        <w:t xml:space="preserve">3. den Wohnteil.</w:t>
      </w:r>
    </w:p>
    <w:p>
      <w:r>
        <w:t xml:space="preserve">(2) Der Betriebsteil umfaßt den Wirtschaftsteil eines Betriebs der Land- und Forstwirtschaft (§ 34 Abs. 2), jedoch ohne die Betriebswohnungen (Absatz 3). § 34 Abs. 4 bis 7 ist bei der Ermittlung des Umfangs des Betriebsteils anzuwenden.</w:t>
      </w:r>
    </w:p>
    <w:p>
      <w:r>
        <w:t xml:space="preserve">(3) Betriebswohnungen sind Wohnungen einschließlich des dazugehörigen Grund und Bodens, die einem Betrieb der Land- und Forstwirtschaft zu dienen bestimmt, aber nicht dem Wohnteil zuzurechnen sind.</w:t>
      </w:r>
    </w:p>
    <w:p>
      <w:r>
        <w:t xml:space="preserve">(4) Der Wohnteil umfaßt die Gebäude und Gebäudeteile im Sinne des § 34 Abs. 3 und den dazugehörigen Grund und Boden.</w:t>
      </w:r>
    </w:p>
    <w:p>
      <w:r>
        <w:rPr>
          <w:color w:val="555555"/>
          <w:sz w:val="17"/>
        </w:rPr>
        <w:t xml:space="preserve">Zitiervorschlag: § 141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