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140 BewG — Wirtschaftliche Einheit und Umfang des land- und forstwirtschaftlichen Vermögens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140 ist seit 01.01.2025 nicht mehr im BewG enthalten. Angezeigt wird die letzte bekannte Fassung, Stand 10.06.2019.</w:t>
      </w:r>
    </w:p>
    <w:p>
      <w:r>
        <w:t xml:space="preserve">(1) Der Begriff der wirtschaftlichen Einheit und der Umfang des land- und forstwirtschaftlichen Vermögens richten sich nach § 33. Dazu gehören auch immaterielle Wirtschaftsgüter (zum Beispiel Brennrechte, Milchlieferrechte, Jagdrechte und Zuckerrübenlieferrechte), soweit sie einem Betrieb der Land- und Forstwirtschaft dauernd zu dienen bestimmt sind.</w:t>
      </w:r>
    </w:p>
    <w:p>
      <w:r>
        <w:t xml:space="preserve">(2) Zu den Geldschulden im Sinne des § 33 Abs. 3 Nr. 2 gehören auch Pensionsverpflichtungen.</w:t>
      </w:r>
    </w:p>
    <w:p>
      <w:r>
        <w:rPr>
          <w:color w:val="555555"/>
          <w:sz w:val="17"/>
        </w:rPr>
        <w:t xml:space="preserve">Zitiervorschlag: § 140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