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132 BewG — Fortschreibung und Nachfeststellung der Einheitswerte 1935</w:t>
      </w:r>
    </w:p>
    <w:p>
      <w:r>
        <w:rPr>
          <w:color w:val="555555"/>
          <w:sz w:val="18"/>
        </w:rPr>
        <w:t xml:space="preserve">Bewertungsgesetz</w:t>
      </w:r>
    </w:p>
    <w:p>
      <w:r>
        <w:rPr>
          <w:color w:val="555555"/>
          <w:sz w:val="18"/>
        </w:rPr>
        <w:t xml:space="preserve">Außer Kraft: § 132 ist seit 01.01.2025 nicht mehr im BewG enthalten. Angezeigt wird die letzte bekannte Fassung, Stand 10.06.2019.</w:t>
      </w:r>
    </w:p>
    <w:p>
      <w:r>
        <w:t xml:space="preserve">(1) Fortschreibungen und Nachfeststellungen der Einheitswerte 1935 werden erstmals auf den 1. Januar 1991 vorgenommen, soweit sich aus den Absätzen 2 bis 4 nichts Abweichendes ergibt.</w:t>
      </w:r>
    </w:p>
    <w:p>
      <w:r>
        <w:t xml:space="preserve">(2) Für Mietwohngrundstücke und Einfamilienhäuser im Sinne des § 32 der weiter anzuwendenden Durchführungsverordnung zum Reichsbewertungsgesetz unterbleibt eine Feststellung des Einheitswerts auf den 1. Januar 1991, wenn eine ab diesem Zeitpunkt wirksame Feststellung des Einheitswerts für die wirtschaftliche Einheit nicht vorliegt und der Einheitswert nur für die Festsetzung der Grundsteuer erforderlich wäre. Der Einheitswert für Mietwohngrundstücke und Einfamilienhäuser wird nachträglich auf einen späteren Feststellungszeitpunkt festgestellt, zu dem der Einheitswert erstmals für die Festsetzung anderer Steuern als der Grundsteuer erforderlich ist.</w:t>
      </w:r>
    </w:p>
    <w:p>
      <w:r>
        <w:t xml:space="preserve">(3) Wird für Grundstücke im Sinne des Absatzes 2 ein Einheitswert festgestellt, gilt er für die Grundsteuer von dem Kalenderjahr an, das der Bekanntgabe des Feststellungsbescheids folgt.</w:t>
      </w:r>
    </w:p>
    <w:p>
      <w:r>
        <w:t xml:space="preserve">(4) Änderungen der tatsächlichen Verhältnisse, die sich nur auf den Wert des Grundstücks auswirken, werden erst durch Fortschreibung auf den 1. Januar 1994 berücksichtigt, es sei denn, daß eine Feststellung des Einheitswerts zu einem früheren Zeitpunkt für die Festsetzung anderer Steuern als der Grundsteuer erforderlich ist.</w:t>
      </w:r>
    </w:p>
    <w:p>
      <w:r>
        <w:rPr>
          <w:color w:val="555555"/>
          <w:sz w:val="17"/>
        </w:rPr>
        <w:t xml:space="preserve">Zitiervorschlag: § 132 BewG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https://recht.nulegal.eu/gesetze/BewG/132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