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BewG — Nachkriegsbauten</w:t>
      </w:r>
    </w:p>
    <w:p>
      <w:r>
        <w:rPr>
          <w:color w:val="555555"/>
          <w:sz w:val="18"/>
        </w:rPr>
        <w:t xml:space="preserve">Bewertungsgesetz</w:t>
      </w:r>
    </w:p>
    <w:p>
      <w:r>
        <w:rPr>
          <w:color w:val="555555"/>
          <w:sz w:val="18"/>
        </w:rPr>
        <w:t xml:space="preserve">Außer Kraft: § 130 ist seit 01.01.2025 nicht mehr im BewG enthalten. Angezeigt wird die letzte bekannte Fassung, Stand 10.06.2019.</w:t>
      </w:r>
    </w:p>
    <w:p>
      <w:r>
        <w:t xml:space="preserve">(1) Nachkriegsbauten sind Grundstücke mit Gebäuden, die nach dem 20. Juni 1948 bezugsfertig geworden sind.</w:t>
      </w:r>
    </w:p>
    <w:p>
      <w:r>
        <w:t xml:space="preserve">(2) Soweit Nachkriegsbauten mit einem Vielfachen der Jahresrohmiete zu bewerten sind, ist für Wohnraum die ab Bezugsfertigkeit preisrechtlich zulässige Miete als Jahresrohmiete vom 1. Januar 1935 anzusetzen. Sind Nachkriegsbauten nach dem 30. Juni 1990 bezugsfertig geworden, ist die Miete anzusetzen, die bei unverändertem Fortbestand der Mietpreisgesetzgebung ab Bezugsfertigkeit preisrechtlich zulässig gewesen wäre. Enthält die preisrechtlich zulässige Miete Bestandteile, die nicht zur Jahresrohmiete im Sinne von § 34 der weiter anzuwendenden Durchführungsverordnung zum Reichsbewertungsgesetz gehören, sind sie auszuscheiden.</w:t>
      </w:r>
    </w:p>
    <w:p>
      <w:r>
        <w:t xml:space="preserve">(3) Für Nachkriegsbauten der Mietwohngrundstücke, der gemischtgenutzten Grundstücke und der mit einem Vielfachen der Jahresrohmiete zu bewertenden Geschäftsgrundstücke gilt einheitlich der Vervielfältiger neun.</w:t>
      </w:r>
    </w:p>
    <w:p>
      <w:r>
        <w:rPr>
          <w:color w:val="555555"/>
          <w:sz w:val="17"/>
        </w:rPr>
        <w:t xml:space="preserve">Zitiervorschlag: § 130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