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129a BewG — Abschläge bei Bewertung mit einem Vielfachen der Jahresrohmiete</w:t>
      </w:r>
    </w:p>
    <w:p>
      <w:r>
        <w:rPr>
          <w:color w:val="555555"/>
          <w:sz w:val="18"/>
        </w:rPr>
        <w:t xml:space="preserve">Bewertungsgesetz</w:t>
      </w:r>
    </w:p>
    <w:p>
      <w:r>
        <w:rPr>
          <w:color w:val="555555"/>
          <w:sz w:val="18"/>
        </w:rPr>
        <w:t xml:space="preserve">Außer Kraft: § 129a ist seit 01.01.2025 nicht mehr im BewG enthalten. Angezeigt wird die letzte bekannte Fassung, Stand 10.06.2019.</w:t>
      </w:r>
    </w:p>
    <w:p>
      <w:r>
        <w:t xml:space="preserve">(1) Ist eine Ermäßigung wegen des baulichen Zustandes des Gebäudes (§ 37 Abs. 1, 3 und 4 der weiter anzuwendenden Durchführungsverordnung zum Reichsbewertungsgesetz) zu gewähren, tritt der Höchstsatz 50 Prozent anstelle des Höchstsatzes von 30 Prozent.</w:t>
      </w:r>
    </w:p>
    <w:p>
      <w:r>
        <w:t xml:space="preserve">(2) Der Wert eines Grundstücks, der sich aus dem Vielfachen der Jahresrohmiete ergibt, ist ohne Begrenzung auf 30 Prozent (§ 37 Abs. 3 der weiter anzuwendenden Durchführungsverordnung zum Reichsbewertungsgesetz) zu ermäßigen, wenn die Notwendigkeit baldigen Abbruchs besteht. Gleiches gilt, wenn derjenige, der ein Gebäude auf fremdem Grund und Boden aufgrund eines Erbbaurechts errichtet hat, vertraglich zum vorzeitigen Abbruch verpflichtet ist.</w:t>
      </w:r>
    </w:p>
    <w:p>
      <w:r>
        <w:rPr>
          <w:color w:val="555555"/>
          <w:sz w:val="17"/>
        </w:rPr>
        <w:t xml:space="preserve">Zitiervorschlag: § 129a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