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 BewG — Land- und forstwirtschaftliches Vermögen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125 ist seit 01.01.2025 nicht mehr im BewG enthalten. Angezeigt wird die letzte bekannte Fassung, Stand 10.06.2019.</w:t>
      </w:r>
    </w:p>
    <w:p>
      <w:r>
        <w:t xml:space="preserve">(1) Einheitswerte, die für Betriebe der Land- und Forstwirtschaft nach den Wertverhältnissen vom 1. Januar 1935 festgestellt worden sind, werden ab dem 1. Januar 1991 nicht mehr angewendet.</w:t>
      </w:r>
    </w:p>
    <w:p>
      <w:r>
        <w:t xml:space="preserve">(2) Anstelle der Einheitswerte für Betriebe der Land- und Forstwirtschaft werden abweichend von § 19 Abs. 1 Ersatzwirtschaftswerte für das in Absatz 3 bezeichnete Vermögen ermittelt und ab 1. Januar 1991 der Besteuerung zugrunde gelegt. Der Bildung des Ersatzwirtschaftswerts ist abweichend von § 2 und § 34 Abs. 1, 3 bis 6 und 7 eine Nutzungseinheit zugrunde zu legen, in die alle von derselben Person (Nutzer) regelmäßig selbstgenutzten Wirtschaftsgüter des land- und forstwirtschaftlichen Vermögens im Sinne des § 33 Abs. 2 einbezogen werden, auch wenn der Nutzer nicht Eigentümer ist. § 26 ist sinngemäß anzuwenden. Grundbesitz im Sinne des § 3 Abs. 1 Satz 1 Nr. 6 und Satz 2 des Grundsteuergesetzes wird bei der Bildung des Ersatzwirtschaftswerts nicht berücksichtigt.</w:t>
      </w:r>
    </w:p>
    <w:p>
      <w:r>
        <w:t xml:space="preserve">(3) Zum land- und forstwirtschaftlichen Vermögen gehören abweichend von § 33 Abs. 2 nicht die Wohngebäude einschließlich des dazugehörigen Grund und Bodens. Wohngrundstücke sind dem Grundvermögen zuzurechnen und nach den dafür geltenden Vorschriften zu bewerten.</w:t>
      </w:r>
    </w:p>
    <w:p>
      <w:r>
        <w:t xml:space="preserve">(4) Der Ersatzwirtschaftswert wird unter sinngemäßer Anwendung der §§ 35, 36, 38, 40, 42 bis 45, 50 bis 54, 56, 59, 60 Abs. 2 und § 62 in einem vereinfachten Verfahren ermittelt. Bei dem Vergleich der Ertragsbedingungen sind abweichend von § 38 Abs. 2 Nr. 1 ausschließlich die in der Gegend als regelmäßig anzusehenden Verhältnisse zugrunde zu legen.</w:t>
      </w:r>
    </w:p>
    <w:p>
      <w:r>
        <w:t xml:space="preserve">(5) Für die Ermittlung des Ersatzwirtschaftswerts sind die Wertverhältnisse maßgebend, die bei der Hauptfeststellung der Einheitswerte des land- und forstwirtschaftlichen Vermögens in der Bundesrepublik Deutschland auf den 1. Januar 1964 zugrunde gelegt worden sind.</w:t>
      </w:r>
    </w:p>
    <w:p>
      <w:r>
        <w:t xml:space="preserve">(6) Aus den Vergleichszahlen der Nutzungen und Nutzungsteile, ausgenommen die forstwirtschaftliche Nutzung und die sonstige land- und forstwirtschaftliche Nutzung, werden unter Anwendung der Ertragswerte des § 40 die Ersatzvergleichswerte als Bestandteile des Ersatzwirtschaftswerts ermittelt. Für die Nutzungen und Nutzungsteile gelten die folgenden Vergleichszahlen:</w:t>
      </w:r>
    </w:p>
    <w:p>
      <w:pPr>
        <w:ind w:left="420"/>
      </w:pPr>
      <w:r>
        <w:t xml:space="preserve">1. Landwirtschaftliche Nutzung</w:t>
      </w:r>
    </w:p>
    <w:p>
      <w:r>
        <w:rPr>
          <w:rFonts w:ascii="Courier New" w:hAnsi="Courier New"/>
          <w:sz w:val="17"/>
        </w:rPr>
        <w:t xml:space="preserve">a)    Landwirtschaftliche Nutzung ohne Hopfen und SpargelDie landwirtschaftliche Vergleichszahl in 100 je Hektar errechnet sich auf der Grundlage der Ergebnisse der Bodenschätzung unter Berücksichtigung weiterer natürlicher und wirtschaftlicher Ertragsbedingungen.    </w:t>
      </w:r>
    </w:p>
    <w:p>
      <w:r>
        <w:rPr>
          <w:rFonts w:ascii="Courier New" w:hAnsi="Courier New"/>
          <w:sz w:val="17"/>
        </w:rPr>
        <w:t xml:space="preserve">b)    HopfenHopfenbau-Vergleichszahl je Ar    40</w:t>
      </w:r>
    </w:p>
    <w:p>
      <w:r>
        <w:rPr>
          <w:rFonts w:ascii="Courier New" w:hAnsi="Courier New"/>
          <w:sz w:val="17"/>
        </w:rPr>
        <w:t xml:space="preserve">c)    Spargel Spargelbau-Vergleichszahl je Ar    70</w:t>
      </w:r>
    </w:p>
    <w:p>
      <w:pPr>
        <w:ind w:left="420"/>
      </w:pPr>
      <w:r>
        <w:t xml:space="preserve">2. Weinbauliche Nutzung Weinbau-Vergleichszahlen je Ar:</w:t>
      </w:r>
    </w:p>
    <w:p>
      <w:r>
        <w:rPr>
          <w:rFonts w:ascii="Courier New" w:hAnsi="Courier New"/>
          <w:sz w:val="17"/>
        </w:rPr>
        <w:t xml:space="preserve">a)    Traubenerzeugung (Nichtausbau)    22</w:t>
      </w:r>
    </w:p>
    <w:p>
      <w:r>
        <w:rPr>
          <w:rFonts w:ascii="Courier New" w:hAnsi="Courier New"/>
          <w:sz w:val="17"/>
        </w:rPr>
        <w:t xml:space="preserve">b)    Faßweinausbau    25</w:t>
      </w:r>
    </w:p>
    <w:p>
      <w:r>
        <w:rPr>
          <w:rFonts w:ascii="Courier New" w:hAnsi="Courier New"/>
          <w:sz w:val="17"/>
        </w:rPr>
        <w:t xml:space="preserve">c)    Flaschenweinausbau    30</w:t>
      </w:r>
    </w:p>
    <w:p>
      <w:pPr>
        <w:ind w:left="420"/>
      </w:pPr>
      <w:r>
        <w:t xml:space="preserve">3. Gärtnerische Nutzung Gartenbau-Vergleichszahlen je Ar:</w:t>
      </w:r>
    </w:p>
    <w:p>
      <w:r>
        <w:rPr>
          <w:rFonts w:ascii="Courier New" w:hAnsi="Courier New"/>
          <w:sz w:val="17"/>
        </w:rPr>
        <w:t xml:space="preserve">a)    Nutzungsteil Gemüse-, Blumen- und Zierpflanzenbau:    </w:t>
      </w:r>
    </w:p>
    <w:p>
      <w:r>
        <w:rPr>
          <w:rFonts w:ascii="Courier New" w:hAnsi="Courier New"/>
          <w:sz w:val="17"/>
        </w:rPr>
        <w:t xml:space="preserve">    aa)    Gemüsebau    50</w:t>
      </w:r>
    </w:p>
    <w:p>
      <w:r>
        <w:rPr>
          <w:rFonts w:ascii="Courier New" w:hAnsi="Courier New"/>
          <w:sz w:val="17"/>
        </w:rPr>
        <w:t xml:space="preserve">    bb)    Blumen- und Zierpflanzenbau    100</w:t>
      </w:r>
    </w:p>
    <w:p>
      <w:r>
        <w:rPr>
          <w:rFonts w:ascii="Courier New" w:hAnsi="Courier New"/>
          <w:sz w:val="17"/>
        </w:rPr>
        <w:t xml:space="preserve">b)    Nutzungsteil Obstbau    50</w:t>
      </w:r>
    </w:p>
    <w:p>
      <w:r>
        <w:rPr>
          <w:rFonts w:ascii="Courier New" w:hAnsi="Courier New"/>
          <w:sz w:val="17"/>
        </w:rPr>
        <w:t xml:space="preserve">c)    Nutzungsteil Baumschulen    60</w:t>
      </w:r>
    </w:p>
    <w:p>
      <w:r>
        <w:rPr>
          <w:rFonts w:ascii="Courier New" w:hAnsi="Courier New"/>
          <w:sz w:val="17"/>
        </w:rPr>
        <w:t xml:space="preserve">d)    Für Nutzungsflächen unter Glas und Kunststoffplatten, ausgenommen Niederglas, erhöhen sich die vorstehenden Vergleichszahlen bei    </w:t>
      </w:r>
    </w:p>
    <w:p>
      <w:r>
        <w:rPr>
          <w:rFonts w:ascii="Courier New" w:hAnsi="Courier New"/>
          <w:sz w:val="17"/>
        </w:rPr>
        <w:t xml:space="preserve">    aa)    Gemüsebau    </w:t>
      </w:r>
    </w:p>
    <w:p>
      <w:r>
        <w:rPr>
          <w:rFonts w:ascii="Courier New" w:hAnsi="Courier New"/>
          <w:sz w:val="17"/>
        </w:rPr>
        <w:t xml:space="preserve">        nicht heizbar    um das 6fache,</w:t>
      </w:r>
    </w:p>
    <w:p>
      <w:r>
        <w:rPr>
          <w:rFonts w:ascii="Courier New" w:hAnsi="Courier New"/>
          <w:sz w:val="17"/>
        </w:rPr>
        <w:t xml:space="preserve">        heizbar    um das 8fache,</w:t>
      </w:r>
    </w:p>
    <w:p>
      <w:r>
        <w:rPr>
          <w:rFonts w:ascii="Courier New" w:hAnsi="Courier New"/>
          <w:sz w:val="17"/>
        </w:rPr>
        <w:t xml:space="preserve">    bb)    Blumen- und Zierpflanzenbau, Baumschulen    </w:t>
      </w:r>
    </w:p>
    <w:p>
      <w:r>
        <w:rPr>
          <w:rFonts w:ascii="Courier New" w:hAnsi="Courier New"/>
          <w:sz w:val="17"/>
        </w:rPr>
        <w:t xml:space="preserve">        nicht heizbar    um das 4fache,</w:t>
      </w:r>
    </w:p>
    <w:p>
      <w:r>
        <w:rPr>
          <w:rFonts w:ascii="Courier New" w:hAnsi="Courier New"/>
          <w:sz w:val="17"/>
        </w:rPr>
        <w:t xml:space="preserve">        heizbar    um das 8fache.</w:t>
      </w:r>
    </w:p>
    <w:p>
      <w:r>
        <w:t xml:space="preserve">(7) Für die folgenden Nutzungen werden unmittelbar Ersatzvergleichswerte angesetzt:</w:t>
      </w:r>
    </w:p>
    <w:p>
      <w:pPr>
        <w:ind w:left="420"/>
      </w:pPr>
      <w:r>
        <w:t xml:space="preserve">1. Forstwirtschaftliche Nutzung Der Ersatzvergleichswert beträgt 125 Deutsche Mark je Hektar.</w:t>
      </w:r>
    </w:p>
    <w:p>
      <w:pPr>
        <w:ind w:left="420"/>
      </w:pPr>
      <w:r>
        <w:t xml:space="preserve">2. Sonstige land- und forstwirtschaftliche Nutzung Der Ersatzvergleichswert beträgt bei</w:t>
      </w:r>
    </w:p>
    <w:p>
      <w:r>
        <w:rPr>
          <w:rFonts w:ascii="Courier New" w:hAnsi="Courier New"/>
          <w:sz w:val="17"/>
        </w:rPr>
        <w:t xml:space="preserve">a)    Binnenfischerei    2 Deutsche Mark je kg des nachhaltigen Jahresfangs,</w:t>
      </w:r>
    </w:p>
    <w:p>
      <w:r>
        <w:rPr>
          <w:rFonts w:ascii="Courier New" w:hAnsi="Courier New"/>
          <w:sz w:val="17"/>
        </w:rPr>
        <w:t xml:space="preserve">b)    Teichwirtschaft    </w:t>
      </w:r>
    </w:p>
    <w:p>
      <w:r>
        <w:rPr>
          <w:rFonts w:ascii="Courier New" w:hAnsi="Courier New"/>
          <w:sz w:val="17"/>
        </w:rPr>
        <w:t xml:space="preserve">    aa) Forellenteichwirtschaft    20 000 Deutsche Mark je Hektar,</w:t>
      </w:r>
    </w:p>
    <w:p>
      <w:r>
        <w:rPr>
          <w:rFonts w:ascii="Courier New" w:hAnsi="Courier New"/>
          <w:sz w:val="17"/>
        </w:rPr>
        <w:t xml:space="preserve">    bb) übrige Teichwirtschaft    1 000 Deutsche Mark je Hektar,</w:t>
      </w:r>
    </w:p>
    <w:p>
      <w:r>
        <w:rPr>
          <w:rFonts w:ascii="Courier New" w:hAnsi="Courier New"/>
          <w:sz w:val="17"/>
        </w:rPr>
        <w:t xml:space="preserve">c)    Fischzucht für Binnenfischerei und Teichwirtschaft    </w:t>
      </w:r>
    </w:p>
    <w:p>
      <w:r>
        <w:rPr>
          <w:rFonts w:ascii="Courier New" w:hAnsi="Courier New"/>
          <w:sz w:val="17"/>
        </w:rPr>
        <w:t xml:space="preserve">    aa) für Forellenteichwirtschaft    30 000 Deutsche Mark je Hektar,</w:t>
      </w:r>
    </w:p>
    <w:p>
      <w:r>
        <w:rPr>
          <w:rFonts w:ascii="Courier New" w:hAnsi="Courier New"/>
          <w:sz w:val="17"/>
        </w:rPr>
        <w:t xml:space="preserve">    bb) für übrige Binnenfischerei und Teichwirtschaft    1 500 Deutsche Mark je Hektar,</w:t>
      </w:r>
    </w:p>
    <w:p>
      <w:r>
        <w:rPr>
          <w:rFonts w:ascii="Courier New" w:hAnsi="Courier New"/>
          <w:sz w:val="17"/>
        </w:rPr>
        <w:t xml:space="preserve">d)    Imkerei    10 Deutsche Mark je Bienenkasten,</w:t>
      </w:r>
    </w:p>
    <w:p>
      <w:r>
        <w:rPr>
          <w:rFonts w:ascii="Courier New" w:hAnsi="Courier New"/>
          <w:sz w:val="17"/>
        </w:rPr>
        <w:t xml:space="preserve">e)    Wanderschäferei    20 Deutsche Mark je Mutterschaft,</w:t>
      </w:r>
    </w:p>
    <w:p>
      <w:r>
        <w:rPr>
          <w:rFonts w:ascii="Courier New" w:hAnsi="Courier New"/>
          <w:sz w:val="17"/>
        </w:rPr>
        <w:t xml:space="preserve">f)    Saatzucht    15 Prozent der nachhaltigen Jahreseinnahmen,</w:t>
      </w:r>
    </w:p>
    <w:p>
      <w:r>
        <w:rPr>
          <w:rFonts w:ascii="Courier New" w:hAnsi="Courier New"/>
          <w:sz w:val="17"/>
        </w:rPr>
        <w:t xml:space="preserve">g)    Weihnachtsbaumkultur    3 000 Deutsche Mark je Hektar,</w:t>
      </w:r>
    </w:p>
    <w:p>
      <w:r>
        <w:rPr>
          <w:rFonts w:ascii="Courier New" w:hAnsi="Courier New"/>
          <w:sz w:val="17"/>
        </w:rPr>
        <w:t xml:space="preserve">h)    Pilzanbau    25 Deutsche Mark je Quadratmeter,</w:t>
      </w:r>
    </w:p>
    <w:p>
      <w:r>
        <w:rPr>
          <w:rFonts w:ascii="Courier New" w:hAnsi="Courier New"/>
          <w:sz w:val="17"/>
        </w:rPr>
        <w:t xml:space="preserve">i)    Besamungsstationen    20 Prozent der nachhaltigen Jahreseinnahmen.</w:t>
      </w:r>
    </w:p>
    <w:p>
      <w:r>
        <w:rPr>
          <w:color w:val="555555"/>
          <w:sz w:val="17"/>
        </w:rPr>
        <w:t xml:space="preserve">Zitiervorschlag: § 125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https://recht.nulegal.eu/gesetze/BewG/125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