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BewG — Bewertung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Betriebsvermögen von Gewerbebetrieben im Sinne des § 95 und das Betriebsvermögen von freiberuflich Tätigen im Sinne des § 96 ist jeweils mit dem gemeinen Wert anzusetzen. Für die Ermittlung des gemeinen Werts gilt § 11 Abs. 2 entsprechend.</w:t>
      </w:r>
    </w:p>
    <w:p>
      <w:r>
        <w:t xml:space="preserve">(2) Der Wert eines Anteils am Betriebsvermögen einer in § 97 genannten Körperschaft, Personenvereinigung oder Vermögensmasse ist mit dem gemeinen Wert anzusetzen. Für die Ermittlung des gemeinen Werts gilt § 11 Abs. 2 entsprechend.</w:t>
      </w:r>
    </w:p>
    <w:p>
      <w:r>
        <w:rPr>
          <w:color w:val="555555"/>
          <w:sz w:val="17"/>
        </w:rPr>
        <w:t xml:space="preserve">Zitiervorschlag: § 109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