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BewG — Schulden und sonstige Abzüge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Schulden und sonstige Abzüge, die nach § 95 Abs. 1 zum Betriebsvermögen gehören, werden vorbehaltlich des Absatzes 3 berücksichtigt, soweit sie mit der Gesamtheit oder einzelnen Teilen des Betriebsvermögens im Sinne dieses Gesetzes in wirtschaftlichem Zusammenhang stehen.</w:t>
      </w:r>
    </w:p>
    <w:p>
      <w:r>
        <w:t xml:space="preserve">(2) Weist ein Gesellschafter in der Steuerbilanz Gewinnansprüche gegen eine von ihm beherrschte Gesellschaft aus, ist bei dieser ein Schuldposten in entsprechender Höhe abzuziehen.</w:t>
      </w:r>
    </w:p>
    <w:p>
      <w:r>
        <w:t xml:space="preserve">(3) Rücklagen sind nur insoweit abzugsfähig, als ihr Abzug bei der Bewertung des Betriebsvermögens für Zwecke der Erbschaftsteuer durch Gesetz ausdrücklich zugelassen ist.</w:t>
      </w:r>
    </w:p>
    <w:p>
      <w:r>
        <w:rPr>
          <w:color w:val="555555"/>
          <w:sz w:val="17"/>
        </w:rPr>
        <w:t xml:space="preserve">Zitiervorschlag: § 103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