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BewG — Begriff des Teilwerts</w:t>
      </w:r>
    </w:p>
    <w:p>
      <w:r>
        <w:rPr>
          <w:color w:val="555555"/>
          <w:sz w:val="18"/>
        </w:rPr>
        <w:t xml:space="preserve">Bewertungsgesetz</w:t>
      </w:r>
    </w:p>
    <w:p>
      <w:r>
        <w:rPr>
          <w:color w:val="555555"/>
          <w:sz w:val="18"/>
        </w:rPr>
        <w:t xml:space="preserve">Stand: 10.06.2019 (konsolidierte Textfassung, kein amtliches Inkrafttretensdatum)</w:t>
      </w:r>
    </w:p>
    <w:p>
      <w:r>
        <w:t xml:space="preserve">Wirtschaftsgüter, die einem Unternehmen dienen, sind, soweit nichts anderes vorgeschrieben ist, mit dem Teilwert anzusetzen. Teilwert ist der Betrag, den ein Erwerber des ganzen Unternehmens im Rahmen des Gesamtkaufpreises für das einzelne Wirtschaftsgut ansetzen würde. Dabei ist davon auszugehen, daß der Erwerber das Unternehmen fortführt.</w:t>
      </w:r>
    </w:p>
    <w:p>
      <w:r>
        <w:rPr>
          <w:color w:val="555555"/>
          <w:sz w:val="17"/>
        </w:rPr>
        <w:t xml:space="preserve">Zitiervorschlag: § 10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