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BewG — Geltungsbereich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allgemeinen Bewertungsvorschriften (§§ 2 bis 16) gelten für alle öffentlich-rechtlichen Abgaben, die durch Bundesrecht geregelt sind, soweit sie durch Bundesfinanzbehörden oder durch Landesfinanzbehörden verwaltet werden.</w:t>
      </w:r>
    </w:p>
    <w:p>
      <w:r>
        <w:t xml:space="preserve">(2) Die allgemeinen Bewertungsvorschriften gelten nicht, soweit im Zweiten Teil dieses Gesetzes oder in anderen Steuergesetzen besondere Bewertungsvorschriften enthalten sind.</w:t>
      </w:r>
    </w:p>
    <w:p>
      <w:r>
        <w:rPr>
          <w:color w:val="555555"/>
          <w:sz w:val="17"/>
        </w:rPr>
        <w:t xml:space="preserve">Zitiervorschlag: § 1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