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BewGÄndG</w:t>
      </w:r>
    </w:p>
    <w:p>
      <w:r>
        <w:rPr>
          <w:color w:val="555555"/>
          <w:sz w:val="18"/>
        </w:rPr>
        <w:t xml:space="preserve">Gesetz zur Änderung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Zeitpunkt, von dem an die nach den Vorschriften des Bewertungsgesetzes in der Fassung dieses Gesetzes festgestellten Einheitswerte beim Ansatz von Gerichtskosten zugrunde gelegt werden, wird durch besonderes Gesetz bestimmt.</w:t>
      </w:r>
    </w:p>
    <w:p>
      <w:r>
        <w:t xml:space="preserve">(2) Für die Anwendung der Höfeordnung vom 24. April 1947 (Anlage B der Verordnung Nr. 84 - Erbhöfe -, Amtsblatt der Britischen Militärregierung Nr. 18 S. 505) sind bis auf weiteres die Einheitswerte maßgebend, die nach den bisherigen Vorschriften des Bewertungsgesetzes und den zu ihnen ergangenen Durchführungsvorschriften festgestellt sind.</w:t>
      </w:r>
    </w:p>
    <w:p>
      <w:r>
        <w:rPr>
          <w:color w:val="555555"/>
          <w:sz w:val="17"/>
        </w:rPr>
        <w:t xml:space="preserve">Zitiervorschlag: Art 4 BewGÄndG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https://recht.nulegal.eu/gesetze/BewG%C3%84ndG/4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