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BewGÄndG</w:t>
      </w:r>
    </w:p>
    <w:p>
      <w:r>
        <w:rPr>
          <w:color w:val="555555"/>
          <w:sz w:val="18"/>
        </w:rPr>
        <w:t xml:space="preserve">Gesetz zur Änderung des Bewertungsgesetzes</w:t>
      </w:r>
    </w:p>
    <w:p>
      <w:r>
        <w:rPr>
          <w:color w:val="555555"/>
          <w:sz w:val="18"/>
        </w:rPr>
        <w:t xml:space="preserve">Stand: 10.06.2019 (konsolidierte Textfassung, kein amtliches Inkrafttretensdatum)</w:t>
      </w:r>
    </w:p>
    <w:p>
      <w:r>
        <w:t xml:space="preserve">(1) Für Grundbesitz findet die nächste Hauptfeststellung der Einheitswerte nach § 21 des Bewertungsgesetzes in der Fassung des Artikels 1 Nr. 8 auf den Beginn des Kalenderjahres 1964 statt (Hauptfeststellung 1964). Bei der Hauptfeststellung 1964 gilt bei der Bewertung von Grundstücken im Wege des Ertragswertverfahrens, wenn die Jahresrohmiete auf Grund der Mietpreisfreigabe nach § 15 des Zweiten Bundesmietengesetzes in der Fassung des Artikels 1 Nr. 1 des Gesetzes zur Änderung von Fristen des Gesetzes über den Abbau der Wohnungszwangswirtschaft und über ein soziales Miet- und Wohnrecht vom 29. Juli 1963 (Bundesgesetzbl. I S. 524) in der Zeit bis zum 1. Januar 1964 erhöht worden ist, die vor dieser Erhöhung geltende Jahresrohmiete als Jahresrohmiete vom 1. Januar 1964. Der Zeitpunkt der auf die Hauptfeststellung 1964 folgenden nächsten Hauptfeststellung der Einheitswerte des Grundbesitzes wird abweichend von § 21 Abs. 1 Nr. 1 des Bewertungsgesetzes durch besonderes Gesetz bestimmt.</w:t>
      </w:r>
    </w:p>
    <w:p>
      <w:r>
        <w:t xml:space="preserve">(2) Fortschreibungen der nach Absatz 1 festgestellten Einheitswerte, Nachfeststellungen und Aufhebungen von Einheitswerten des Grundbesitzes werden nach den §§ 22 bis 23a des Bewertungsgesetzes in der Fassung des Artikels 1 Nr. 9 bis 11 erstmals auf den Zeitpunkt vorgenommen, von dem an die Einheitswerte nach Artikel 3 Abs. 1 erstmals der Besteuerung zugrunde gelegt werden.</w:t>
      </w:r>
    </w:p>
    <w:p>
      <w:r>
        <w:t xml:space="preserve">(3) Vorbehaltlich des Absatzes 4 sind erstmals anzuwenden</w:t>
      </w:r>
    </w:p>
    <w:p>
      <w:pPr>
        <w:ind w:left="420"/>
      </w:pPr>
      <w:r>
        <w:t xml:space="preserve">1. § 23b des Bewertungsgesetzes in der Fassung des Artikels 1 Nr. 11, die Vorschriften des Artikels 1 Nr. 17, 19 und 21 und § 79 des Bewertungsgesetzes in der Fassung des Artikels 1 Nr. 26 bei der Hauptfeststellung der Einheitswerte des Grundbesitzes 1964,</w:t>
      </w:r>
    </w:p>
    <w:p>
      <w:pPr>
        <w:ind w:left="420"/>
      </w:pPr>
      <w:r>
        <w:t xml:space="preserve">2. § 24a des Bewertungsgesetzes in der Fassung des Artikels 1 Nr. 13 bei Fortschreibungen und Nachfeststellungen der Einheitswerte des Grundbesitzes auf den in Absatz 2 bezeichneten Zeitpunkt.</w:t>
      </w:r>
    </w:p>
    <w:p>
      <w:r>
        <w:t xml:space="preserve">(4) Für die Zwecke von Steuern, bei denen die nach Absatz 1 oder Absatz 2 festgestellten Einheitswerte noch nicht der Besteuerung zugrunde gelegt werden, werden weiterhin Fortschreibungen der bisherigen Einheitswerte des Grundbesitzes und Nachfeststellungen von Einheitswerten des Grundbesitzes nach den bisherigen Vorschriften des Bewertungsgesetzes und den zu ihnen ergangenen Durchführungsvorschriften vorgenommen. Wertfortschreibungen auf den 1. Januar 1970, 1. Januar 1971, 1. Januar 1972 und auf den 1. Januar 1973 werden abweichend von § 22 des Bewertungsgesetzes in der bisher geltenden Fassung nur vorgenommen, wenn der Wert entweder um mehr als ein Viertel oder um mehr als 200.000 Deutsche Mark von dem Einheitswert des letzten Feststellungszeitpunkts abweicht, der nach den bisherigen Vorschriften festgestellt worden ist. Wenn der Wert nach unten abweicht, muß die Wertabweichung mindestens 3.000 Deutsche Mark, wenn der Wert nach oben abweicht, mindestens 50.000 Deutsche Mark betragen. Wird bei einer wirtschaftlichen Einheit die Grundstücksfläche verkleinert oder vergrößert, so wird der Einheitswert ohne Rücksicht auf diese Grenzen neu festgestellt, wenn der neue Wert um mindestens 1.000 Deutsche Mark von dem Einheitswert des letzten Feststellungszeitpunkts abweicht. Die Fortschreibung auf Null Deutsche Mark bei Wegfall der wirtschaftlichen Einheit bleibt unberührt. Die Vorschriften des Artikels 3 des Gesetzes zur Änderung und Ergänzung bewertungsrechtlicher Vorschriften und des Einkommensteuergesetzes vom 22. Juli 1970 (Bundesgesetzbl. I S. 1118) sind auch bei Fortschreibungen und Nachfeststellungen von Einheitswerten auf den 1. Januar 1972 und auf den 1. Januar 1973 anzuwenden.</w:t>
      </w:r>
    </w:p>
    <w:p>
      <w:r>
        <w:t xml:space="preserve">(5) Bei der Feststellung von Einheitswerten nach geltendem Recht auf den 1. Januar 1965 oder einen späteren Zeitpunkt richtet sich die Zugehörigkeit der Tierbestände zum landwirtschaftlichen Vermögen nach § 28 Abs. 3 Nr. 4 in Verbindung mit § 39a des Bewertungsgesetzes in der Fassung dieses Gesetzes; § 29 Abs. 3 des Bewertungsgesetzes in der vor Inkrafttreten dieses Gesetzes geltenden Fassung ist nicht mehr anzuwenden. Fortschreibungen aus diesem Grunde sind auf den 1. Januar 1965, 1. Januar 1966 und 1. Januar 1967 auf Antrag, auf den 1. Januar 1968 oder einen späteren Zeitpunkt von Amts wegen ohne Rücksicht auf Fortschreibungsgrenzen durchzuführen.</w:t>
      </w:r>
    </w:p>
    <w:p>
      <w:r>
        <w:t xml:space="preserve">(6) Bei einer Stichtagsbewertung nach § 23 Abs. 4 des Erbschaftsteuergesetzes auf einen früheren Zeitpunkt als den Zeitpunkt, der in dem in Absatz 1 Satz 2 erwähnten Gesetz für die Erbschaftsteuer bestimmt wird, gilt Absatz 4 entsprechend.</w:t>
      </w:r>
    </w:p>
    <w:p>
      <w:r>
        <w:t xml:space="preserve">(7) Bei der Einheitsbewertung von Mineralgewinnungsrechten und von gewerblichen Betrieben gilt für die Anwendung der Vorschriften des Bewertungsgesetzes folgendes:</w:t>
      </w:r>
    </w:p>
    <w:p>
      <w:pPr>
        <w:ind w:left="420"/>
      </w:pPr>
      <w:r>
        <w:t xml:space="preserve">1. Es sind anzuwenden</w:t>
      </w:r>
    </w:p>
    <w:p>
      <w:pPr>
        <w:ind w:left="780"/>
      </w:pPr>
      <w:r>
        <w:t xml:space="preserve">a) § 21 des Bewertungsgesetzes in der Fassung des Artikels 1 Nr. 8 von dem Zeitpunkt an, auf den erstmals nach dem Inkrafttreten dieses Gesetzes eine Hauptfeststellung der Einheitswerte von Mineralgewinnungsrechten oder von gewerblichen Betrieben vorgenommen wird,</w:t>
      </w:r>
    </w:p>
    <w:p>
      <w:pPr>
        <w:ind w:left="780"/>
      </w:pPr>
      <w:r>
        <w:t xml:space="preserve">b) § 22 des Bewertungsgesetzes in der Fassung des Artikels 1 Nr. 9 und § 23a des Bewertungsgesetzes in der Fassung des Artikels 1 Nr. 11 von dem Zeitpunkt an, auf den erstmals nach der in Buchstabe a bezeichneten Hauptfeststellung Fortschreibungen und Aufhebungen von Einheitswerten von Mineralgewinnungsrechten oder von gewerblichen Betrieben vorgenommen werden,</w:t>
      </w:r>
    </w:p>
    <w:p>
      <w:pPr>
        <w:ind w:left="780"/>
      </w:pPr>
      <w:r>
        <w:t xml:space="preserve">c) § 24a des Bewertungsgesetzes in der Fassung des Artikels 1 Nr. 13 von dem Zeitpunkt an, auf den erstmals nach der in Buchstabe a bezeichneten Hauptfeststellung Fortschreibungen und Nachfeststellungen von Einheitswerten von Mineralgewinnungsrechten vorgenommen werden.</w:t>
      </w:r>
    </w:p>
    <w:p>
      <w:pPr>
        <w:ind w:left="420"/>
      </w:pPr>
      <w:r>
        <w:t xml:space="preserve">2. Die bisherigen Vorschriften des Bewertungsgesetzes und die zu ihnen ergangenen Durchführungsvorschriften sind weiterhin bei Fortschreibungen und Nachfeststellungen der Einheitswerte von Mineralgewinnungsrechten und von gewerblichen Betrieben auf einen früheren als auf den in Nummer 1 Buchstabe a bezeichneten Zeitpunkt anzuwenden.</w:t>
      </w:r>
    </w:p>
    <w:p>
      <w:r>
        <w:t xml:space="preserve">(8) Bei der Ermittlung des Gesamtvermögens und des Inlandsvermögens ist § 74 Abs. 1 Nr. 3 in der Fassung des Artikels 1 Nr. 24 von dem Zeitpunkt an anzuwenden, von dem an die nach Absatz 1 festgestellten Einheitswerte zugrunde gelegt werden.</w:t>
      </w:r>
    </w:p>
    <w:p>
      <w:r>
        <w:t xml:space="preserve">(9) Bis zur Bildung des Bewertungsbeirates, längstens bis zum 31. Dezember 1966, werden seine Aufgaben durch den vorläufigen Bewertungsbeirat erledigt, der auf Grund des Gesetzes über die Bildung eines vorläufigen Bewertungsbeirates vom 28. September 1950 (Bundesgesetzbl. S. 682) gebildet worden ist. Bis zur Bildung der Gutachterausschüsse, längstens bis zum 31. Dezember 1966, werden ihre Aufgaben durch die Gutachterausschüsse erledigt, die nach dem bisherigen § 35 des Bewertungsgesetzes und nach § 8 der Durchführungsverordnung zum Bewertungsgesetz vom 2. Februar 1935 (Reichsgesetzbl. I S. 81) in der zur Zeit geltenden Fassung gebildet worden sind.</w:t>
      </w:r>
    </w:p>
    <w:p>
      <w:r>
        <w:rPr>
          <w:color w:val="555555"/>
          <w:sz w:val="17"/>
        </w:rPr>
        <w:t xml:space="preserve">Zitiervorschlag: Art 2 BewGÄndG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https://recht.nulegal.eu/gesetze/BewG%C3%84ndG/2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