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BewÄndG</w:t>
      </w:r>
    </w:p>
    <w:p>
      <w:r>
        <w:rPr>
          <w:color w:val="555555"/>
          <w:sz w:val="18"/>
        </w:rPr>
        <w:t xml:space="preserve">Gesetz über die Anwendung und Änderung bewertungsrechtlicher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Einheitswerte des Grundbesitzes auf den 1. Januar 1964 nach § 77 des Bewertungsgesetzes in der Fassung der Bekanntmachung vom 10. Dezember 1965 vor dem Inkrafttreten dieses Gesetzes festgestellt worden, so ist der Feststellungsbescheid aufzuheben.</w:t>
      </w:r>
    </w:p>
    <w:p>
      <w:r>
        <w:rPr>
          <w:color w:val="555555"/>
          <w:sz w:val="17"/>
        </w:rPr>
        <w:t xml:space="preserve">Zitiervorschlag: § 2 BewÄndG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https://recht.nulegal.eu/gesetze/Bew%C3%84ndG/2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