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BeurtVO JM (Nordrhein-Westfalen) — Beurteilungsmaßstab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Eignung, Befähigung und fachliche Leistung sind am Maßstab desjenigen Statusamts unter Berücksichtigung der Anforderungsprofile nach § 8 zu beurteilen, das die oder der zu Beurteilende am Stichtag innehat. Richterinnen und Richter auf Probe sowie Richterinnen und Richter kraft Auftrags sind am Maßstab desjenigen Statusamts unter Berücksichtigung der Anforderungsprofile nach § 8 zu beurteilen, in dem sie später als Richterin oder Richter auf Lebenszeit beziehungsweise als Staatsanwältin oder Staatsanwalt verwendet werden sollen.</w:t>
      </w:r>
    </w:p>
    <w:p>
      <w:r>
        <w:t xml:space="preserve">(2) Mit jeder Beförderung in ein höheres Statusamt sind regelmäßig gesteigerte Anforderungen und ein höheres Maß an Verantwortung verbunden. Nach jeder Beförderung sind bei der dienstlichen Beurteilung entsprechend strengere Maßstäbe anzulegen.</w:t>
      </w:r>
    </w:p>
    <w:p>
      <w:r>
        <w:rPr>
          <w:color w:val="555555"/>
          <w:sz w:val="17"/>
        </w:rPr>
        <w:t xml:space="preserve">Zitiervorschlag: § 4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