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BeurtVO JM (Nordrhein-Westfalen) — Inkrafttreten</w:t>
      </w:r>
    </w:p>
    <w:p>
      <w:r>
        <w:rPr>
          <w:color w:val="555555"/>
          <w:sz w:val="18"/>
        </w:rPr>
        <w:t xml:space="preserve">Beurteilungsverordnung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2023 in Kraft.</w:t>
      </w:r>
    </w:p>
    <w:p>
      <w:r>
        <w:t xml:space="preserve">Der Minister der Justiz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14 BeurtVO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https://recht.nulegal.eu/gesetze/BeurtVO%20JM/14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