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BeurtVO JM (Nordrhein-Westfalen) — Besonderheiten in der Arbeitsgerichtsbarkeit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2 Absatz 2 wird der Stichtag der Regelbeurteilungen durch das Datum der Lebenszeiternennung bestimmt.</w:t>
      </w:r>
    </w:p>
    <w:p>
      <w:r>
        <w:t xml:space="preserve">(2) Die Vizepräsidentin des Landesarbeitsgerichts oder der Vizepräsident des Landesarbeitsgerichts soll in das Beurteilungsverfahren einbezogen werden. Die Möglichkeit, weitere Dezernentinnen oder Dezernenten in das Beurteilungsverfahren einzubeziehen, bleibt hiervon unberührt.</w:t>
      </w:r>
    </w:p>
    <w:p>
      <w:r>
        <w:rPr>
          <w:color w:val="555555"/>
          <w:sz w:val="17"/>
        </w:rPr>
        <w:t xml:space="preserve">Zitiervorschlag: § 11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