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BeurtV (Brandenburg) — Anlass für eine Beurteilung und Ausnahmen</w:t>
      </w:r>
    </w:p>
    <w:p>
      <w:r>
        <w:rPr>
          <w:color w:val="555555"/>
          <w:sz w:val="18"/>
        </w:rPr>
        <w:t xml:space="preserve">Beurteilungsverordnung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Beurteilung ist zu erstellen, wenn es die dienstlichen oder persönlichen Verhältnisse erfordern. Solche Gründe liegen vor,</w:t>
      </w:r>
    </w:p>
    <w:p>
      <w:r>
        <w:t xml:space="preserve">wenn Entscheidungen im Rahmen von Auswahlverfahren bei Bewerbung, Beförderung oder Aufstieg zu treffen sind,</w:t>
      </w:r>
    </w:p>
    <w:p>
      <w:r>
        <w:t xml:space="preserve">bei einer Versetzung zu einem anderen Dienstherrn oder</w:t>
      </w:r>
    </w:p>
    <w:p>
      <w:r>
        <w:t xml:space="preserve">zum Beginn einer vollständigen Freistellung für die Tätigkeit in einer Personalvertretung, als Gleichstellungsbeauftragte oder als Vertrauensperson der schwerbehinderten Menschen.</w:t>
      </w:r>
    </w:p>
    <w:p>
      <w:r>
        <w:t xml:space="preserve">(2) Eine hinreichende Beurteilungsgrundlage stellt in der Regel eine Dienstausübung über einen Zeitraum von insgesamt sechs Monaten dar. Liegt keine hinreichende Beurteilungsgrundlage vor, ist von einer Beurteilung abzusehen.</w:t>
      </w:r>
    </w:p>
    <w:p>
      <w:r>
        <w:t xml:space="preserve">(3) Von der Beurteilung ausgenommen sind Beamtinnen und Beamte, die darauf verzichtet haben, am Auswahlverfahren teilzunehmen.</w:t>
      </w:r>
    </w:p>
    <w:p>
      <w:r>
        <w:t xml:space="preserve">(4) Von einer dienstlichen Beurteilung nach Absatz 1 Nummer 1 soll abgesehen werden, wenn das Ende des zuletzt beurteilten Zeitraums zum Zeitpunkt der Auswahlentscheidung weniger als zwei Jahre zurückliegt.</w:t>
      </w:r>
    </w:p>
    <w:p>
      <w:r>
        <w:rPr>
          <w:color w:val="555555"/>
          <w:sz w:val="17"/>
        </w:rPr>
        <w:t xml:space="preserve">Zitiervorschlag: § 4 BeurtV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