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BeurtV (Brandenburg) — Beurteilungszeitraum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Beurteilungen ist ein Beurteilungszeitraum von drei Jahren zugrunde zu legen.</w:t>
      </w:r>
    </w:p>
    <w:p>
      <w:r>
        <w:t xml:space="preserve">(2) Abweichend von Absatz 1 kann der Beurteilungszeitraum in Einzelfällen, insbesondere nach der Probezeit, einer Beförderung, einem Aufstieg oder einer Versetzung von anderen Dienstherren verkürzt werden. Beträgt dieser Zeitraum weniger als sechs Monate, gilt § 4 Absatz 2 entsprechend.</w:t>
      </w:r>
    </w:p>
    <w:p>
      <w:r>
        <w:rPr>
          <w:color w:val="555555"/>
          <w:sz w:val="17"/>
        </w:rPr>
        <w:t xml:space="preserve">Zitiervorschlag: § 3 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