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BeurtV (Brandenburg) — Inkrafttreten</w:t>
      </w:r>
    </w:p>
    <w:p>
      <w:r>
        <w:rPr>
          <w:color w:val="555555"/>
          <w:sz w:val="18"/>
        </w:rPr>
        <w:t xml:space="preserve">Beurteilungsverordnung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§ 13 tritt am Tag nach der Verkündung in Kraft. Im Übrigen tritt diese Verordnung am 1. Februar 2025 in Kraft.</w:t>
      </w:r>
    </w:p>
    <w:p>
      <w:r>
        <w:t xml:space="preserve">Potsdam, den 6. Dezember 2024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des Innern und für Kommunales</w:t>
      </w:r>
    </w:p>
    <w:p>
      <w:r>
        <w:t xml:space="preserve">Michael Stübgen</w:t>
      </w:r>
    </w:p>
    <w:p>
      <w:r>
        <w:rPr>
          <w:color w:val="555555"/>
          <w:sz w:val="17"/>
        </w:rPr>
        <w:t xml:space="preserve">Zitiervorschlag: § 14 BeurtV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