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BeurtV (Brandenburg) — Nähere Durchführungsbestimmungen und abweichende Regelungen</w:t>
      </w:r>
    </w:p>
    <w:p>
      <w:r>
        <w:rPr>
          <w:color w:val="555555"/>
          <w:sz w:val="18"/>
        </w:rPr>
        <w:t xml:space="preserve">Beurteilungsverordnung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Weitere Einzelheiten zur Durchführung des Verfahrens regeln die obersten Dienstbehörden in eigener Zuständigkeit.</w:t>
      </w:r>
    </w:p>
    <w:p>
      <w:r>
        <w:t xml:space="preserve">(2) Für die Beamtinnen und Beamten der Gemeinden und Gemeindeverbände können von dieser Verordnung abweichende Regelungen durch Satzung, die die vorliegende Vorschrift als Rechtsgrundlage angeben muss, getroffen werden.</w:t>
      </w:r>
    </w:p>
    <w:p>
      <w:r>
        <w:rPr>
          <w:color w:val="555555"/>
          <w:sz w:val="17"/>
        </w:rPr>
        <w:t xml:space="preserve">Zitiervorschlag: § 13 BeurtV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https://recht.nulegal.eu/gesetze/BeurtV/13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