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BeurkG — Inhalt der Niederschrift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Niederschrift muß enthalten</w:t>
      </w:r>
    </w:p>
    <w:p>
      <w:pPr>
        <w:ind w:left="420"/>
      </w:pPr>
      <w:r>
        <w:t xml:space="preserve">1. die Bezeichnung des Notars und der Beteiligten sowie</w:t>
      </w:r>
    </w:p>
    <w:p>
      <w:pPr>
        <w:ind w:left="420"/>
      </w:pPr>
      <w:r>
        <w:t xml:space="preserve">2. die Erklärungen der Beteiligten.</w:t>
      </w:r>
    </w:p>
    <w:p>
      <w:r>
        <w:t xml:space="preserve">Erklärungen in einem Schriftstück, auf das in der Niederschrift verwiesen und das dieser beigefügt wird, gelten als in der Niederschrift selbst enthalten. Satz 2 gilt entsprechend, wenn die Beteiligten unter Verwendung von Karten, Zeichnungen oder Abbildungen Erklärungen abgeben.</w:t>
      </w:r>
    </w:p>
    <w:p>
      <w:r>
        <w:t xml:space="preserve">(2) Die Niederschrift soll Ort und Tag der Verhandlung enthalten.</w:t>
      </w:r>
    </w:p>
    <w:p>
      <w:r>
        <w:rPr>
          <w:color w:val="555555"/>
          <w:sz w:val="17"/>
        </w:rPr>
        <w:t xml:space="preserve">Zitiervorschlag: § 9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