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BeurkG — Grundsatz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Bei der Beurkundung von Willenserklärungen muss eine Niederschrift über die Verhandlung aufgenommen werden.</w:t>
      </w:r>
    </w:p>
    <w:p>
      <w:r>
        <w:t xml:space="preserve">(2) Die Niederschrift kann als elektronisches Dokument aufgenommen werden. Für die elektronische Niederschrift gelten die Vorschriften über die Niederschrift entsprechend, soweit in diesem Unterabschnitt nichts anderes bestimmt ist.</w:t>
      </w:r>
    </w:p>
    <w:p>
      <w:r>
        <w:rPr>
          <w:color w:val="555555"/>
          <w:sz w:val="17"/>
        </w:rPr>
        <w:t xml:space="preserve">Zitiervorschlag: § 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