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BeurkG — Bereits errichtete Urkunden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§§ 45 bis 49, 51, 52, 54 dieses Gesetzes gelten auch für Urkunden, die vor dem Inkrafttreten dieses Gesetzes errichtet worden sind. Dies gilt auch, wenn die Beurkundungszuständigkeit weggefallen ist.</w:t>
      </w:r>
    </w:p>
    <w:p>
      <w:r>
        <w:t xml:space="preserve">(2) Eine vor dem Inkrafttreten dieses Gesetzes erteilte Ausfertigung einer Niederschrift ist auch dann als von Anfang an wirksam anzusehen, wenn sie den Vorschriften dieses Gesetzes genügt.</w:t>
      </w:r>
    </w:p>
    <w:p>
      <w:r>
        <w:t xml:space="preserve">(3) § 2256 Abs. 1, 2 des Bürgerlichen Gesetzbuchs gilt auch für Testamente, die vor dem Inkrafttreten dieses Gesetzes vor einem Richter errichtet worden sind.</w:t>
      </w:r>
    </w:p>
    <w:p>
      <w:r>
        <w:rPr>
          <w:color w:val="555555"/>
          <w:sz w:val="17"/>
        </w:rPr>
        <w:t xml:space="preserve">Zitiervorschlag: § 73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