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BeurkG — Amtliche Beglaubigungen</w:t>
      </w:r>
    </w:p>
    <w:p>
      <w:r>
        <w:rPr>
          <w:color w:val="555555"/>
          <w:sz w:val="18"/>
        </w:rPr>
        <w:t xml:space="preserve">Beurkundungsgesetz</w:t>
      </w:r>
    </w:p>
    <w:p>
      <w:r>
        <w:rPr>
          <w:color w:val="555555"/>
          <w:sz w:val="18"/>
        </w:rPr>
        <w:t xml:space="preserve">Stand: 01.08.2022 (konsolidierte Textfassung, kein amtliches Inkrafttretensdatum)</w:t>
      </w:r>
    </w:p>
    <w:p>
      <w:r>
        <w:t xml:space="preserve">Dieses Gesetz gilt nicht für amtliche Beglaubigungen, mit denen eine Verwaltungsbehörde zum Zwecke der Verwendung in Verwaltungsverfahren oder für sonstige Zwecke, für die eine öffentliche Beglaubigung nicht vorgeschrieben ist, die Echtheit einer Unterschrift oder eines Handzeichens oder die Richtigkeit der Abschrift einer Urkunde bezeugt, die nicht von einer Verwaltungsbehörde ausgestellt ist. Die Beweiskraft dieser amtlichen Beglaubigungen beschränkt sich auf den in dem Beglaubigungsvermerk genannten Verwendungszweck. Die Befugnis der Verwaltungsbehörden, Abschriften ihrer eigenen Urkunden oder von Urkunden anderer Verwaltungsbehörden in der dafür vorgeschriebenen Form mit uneingeschränkter Beweiskraft zu beglaubigen, bleibt unberührt.</w:t>
      </w:r>
    </w:p>
    <w:p>
      <w:r>
        <w:rPr>
          <w:color w:val="555555"/>
          <w:sz w:val="17"/>
        </w:rPr>
        <w:t xml:space="preserve">Zitiervorschlag: § 70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