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BeurkG — Unberührt bleibendes Landesrecht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Unbeschadet der Zuständigkeit des Notars bleiben folgende landesrechtliche Vorschriften unberührt:</w:t>
      </w:r>
    </w:p>
    <w:p>
      <w:pPr>
        <w:ind w:left="420"/>
      </w:pPr>
      <w:r>
        <w:t xml:space="preserve">1. Vorschriften über die Beurkundung von freiwilligen Versteigerungen; dies gilt nicht für die freiwillige Versteigerung von Grundstücken und grundstücksgleichen Rechten;</w:t>
      </w:r>
    </w:p>
    <w:p>
      <w:pPr>
        <w:ind w:left="420"/>
      </w:pPr>
      <w:r>
        <w:t xml:space="preserve">2. Vorschriften über die Zuständigkeit zur Aufnahme von Inventaren, Bestandsverzeichnissen, Nachlaßverzeichnissen und anderen Vermögensverzeichnissen sowie zur Mitwirkung bei der Aufnahme solcher Vermögensverzeichnisse;</w:t>
      </w:r>
    </w:p>
    <w:p>
      <w:pPr>
        <w:ind w:left="420"/>
      </w:pPr>
      <w:r>
        <w:t xml:space="preserve">3. Vorschriften, nach denen die Gerichtsvollzieher zuständig sind, Wechsel- und Scheckproteste aufzunehmen sowie das tatsächliche Angebot einer Leistung zu beurkunden;</w:t>
      </w:r>
    </w:p>
    <w:p>
      <w:pPr>
        <w:ind w:left="420"/>
      </w:pPr>
      <w:r>
        <w:t xml:space="preserve">4. Vorschriften, nach denen die Amtsgerichte zuständig sind, außerhalb eines anhängigen Verfahrens die Aussagen von Zeugen und die Gutachten von Sachverständigen, die Vereidigung sowie eidesstattliche Versicherungen dieser Personen zu beurkunden;</w:t>
      </w:r>
    </w:p>
    <w:p>
      <w:pPr>
        <w:ind w:left="420"/>
      </w:pPr>
      <w:r>
        <w:t xml:space="preserve">5. Vorschriften, nach denen Beurkundungen in Fideikommißsachen, für die ein Kollegialgericht zuständig ist, durch einen beauftragten oder ersuchten Richter erfolgen können;</w:t>
      </w:r>
    </w:p>
    <w:p>
      <w:pPr>
        <w:ind w:left="420"/>
      </w:pPr>
      <w:r>
        <w:t xml:space="preserve">6. Vorschriften, nach denen die Vorstände der Vermessungsbehörden, die das amtliche Verzeichnis im Sinne des § 2 Abs. 2 der Grundbuchordnung führen, und die von den Vorständen beauftragten Beamten dieser Behörden zuständig sind, Anträge der Eigentümer auf Vereinigung oder Teilung von Grundstücken zu beurkunden oder zu beglaubigen;</w:t>
      </w:r>
    </w:p>
    <w:p>
      <w:pPr>
        <w:ind w:left="420"/>
      </w:pPr>
      <w:r>
        <w:t xml:space="preserve">7. Vorschriften über die Beurkundung der Errichtung fester Grenzzeichen (Abmarkung);</w:t>
      </w:r>
    </w:p>
    <w:p>
      <w:pPr>
        <w:ind w:left="420"/>
      </w:pPr>
      <w:r>
        <w:t xml:space="preserve">8. Vorschriften über die Beurkundung von Tatbeständen, die am Grund und Boden durch vermessungstechnische Ermittlungen festgestellt werden, durch Behörden, öffentlich bestellte Vermessungsingenieure oder Markscheider;</w:t>
      </w:r>
    </w:p>
    <w:p>
      <w:pPr>
        <w:ind w:left="420"/>
      </w:pPr>
      <w:r>
        <w:t xml:space="preserve">9. Vorschriften über Beurkundungen in Gemeinheitsteilungs- und agrarrechtlichen Ablösungsverfahren einschließlich der Rentenübernahme- und Rentengutsverfahren;</w:t>
      </w:r>
    </w:p>
    <w:p>
      <w:pPr>
        <w:ind w:left="420"/>
      </w:pPr>
      <w:r>
        <w:t xml:space="preserve">10. Vorschriften über Beurkundungen im Rückerstattungsverfahren;</w:t>
      </w:r>
    </w:p>
    <w:p>
      <w:pPr>
        <w:ind w:left="420"/>
      </w:pPr>
      <w:r>
        <w:t xml:space="preserve">11. Vorschriften über die Beglaubigung amtlicher Unterschriften zum Zwecke der Legalisation;</w:t>
      </w:r>
    </w:p>
    <w:p>
      <w:pPr>
        <w:ind w:left="420"/>
      </w:pPr>
      <w:r>
        <w:t xml:space="preserve">12. Vorschriften über Beurkundungen in Kirchenaustrittssachen.</w:t>
      </w:r>
    </w:p>
    <w:p>
      <w:r>
        <w:t xml:space="preserve">(2) Auf Grund dieser Vorbehalte können den Gerichten Beurkundungszuständigkeiten nicht neu übertragen werden.</w:t>
      </w:r>
    </w:p>
    <w:p>
      <w:r>
        <w:t xml:space="preserve">(3) Auf Grund anderer bundesrechtlicher Vorbehalte kann</w:t>
      </w:r>
    </w:p>
    <w:p>
      <w:pPr>
        <w:ind w:left="420"/>
      </w:pPr>
      <w:r>
        <w:t xml:space="preserve">1. die Zuständigkeit der Notare für öffentliche Beurkundungen (§ 20 der Bundesnotarordnung) nicht eingeschränkt werden,</w:t>
      </w:r>
    </w:p>
    <w:p>
      <w:pPr>
        <w:ind w:left="420"/>
      </w:pPr>
      <w:r>
        <w:t xml:space="preserve">2. nicht bestimmt werden, daß für öffentliche Beurkundungen neben dem Notar andere Urkundspersonen oder sonstige Stellen zuständig sind, und</w:t>
      </w:r>
    </w:p>
    <w:p>
      <w:pPr>
        <w:ind w:left="420"/>
      </w:pPr>
      <w:r>
        <w:t xml:space="preserve">3. keine Regelung getroffen werden, die den Vorschriften der Abschnitte 1 bis 4 dieses Gesetzes entgegensteht.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66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