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BeurkG — Beseitigung von Doppelzuständigkeiten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u. (2) (Änderungsvorschriften)</w:t>
      </w:r>
    </w:p>
    <w:p>
      <w:r>
        <w:t xml:space="preserve">(3) (weggefallen)</w:t>
      </w:r>
    </w:p>
    <w:p>
      <w:r>
        <w:t xml:space="preserve">(4) Auch wenn andere Vorschriften des bisherigen Bundesrechts die gerichtliche oder notarielle Beurkundung oder Beglaubigung oder die Erklärung vor einem Gericht oder Notar vorsehen, ist nur der Notar zuständig.</w:t>
      </w:r>
    </w:p>
    <w:p>
      <w:r>
        <w:rPr>
          <w:color w:val="555555"/>
          <w:sz w:val="17"/>
        </w:rPr>
        <w:t xml:space="preserve">Zitiervorschlag: § 63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