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BeurkG — Verwahrung von Wertpapieren und Kostbarkeiten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§§ 57, 60 und 61 gelten entsprechend für die Verwahrung von Wertpapieren und Kostbarkeiten.</w:t>
      </w:r>
    </w:p>
    <w:p>
      <w:r>
        <w:t xml:space="preserve">(2) Der Notar ist berechtigt, Wertpapiere und Kostbarkeiten auch einer Bank im Sinne des § 58 Absatz 2 in Verwahrung zu geben, und ist nicht verpflichtet, von ihm verwahrte Wertpapiere zu verwalten, soweit in der Verwahrungsanweisung nichts anderes bestimmt ist.</w:t>
      </w:r>
    </w:p>
    <w:p>
      <w:r>
        <w:rPr>
          <w:color w:val="555555"/>
          <w:sz w:val="17"/>
        </w:rPr>
        <w:t xml:space="preserve">Zitiervorschlag: § 62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https://recht.nulegal.eu/gesetze/BeurkG/62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