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59a BeurkG — Verwahrungsverzeichnis</w:t>
      </w:r>
    </w:p>
    <w:p>
      <w:r>
        <w:rPr>
          <w:color w:val="555555"/>
          <w:sz w:val="18"/>
        </w:rPr>
        <w:t xml:space="preserve">Beurkundungsgesetz</w:t>
      </w:r>
    </w:p>
    <w:p>
      <w:r>
        <w:rPr>
          <w:color w:val="555555"/>
          <w:sz w:val="18"/>
        </w:rPr>
        <w:t xml:space="preserve">Stand: 01.08.2022 (konsolidierte Textfassung, kein amtliches Inkrafttretensdatum)</w:t>
      </w:r>
    </w:p>
    <w:p>
      <w:r>
        <w:t xml:space="preserve">(1) Der Notar führt ein elektronisches Verzeichnis über Verwahrungsmassen, die er nach § 23 der Bundesnotarordnung und nach den §§ 57 und 62 entgegennimmt (Verwahrungsverzeichnis).</w:t>
      </w:r>
    </w:p>
    <w:p>
      <w:r>
        <w:t xml:space="preserve">(2) Das Verwahrungsverzeichnis ist im Elektronischen Urkundenarchiv (§ 78h der Bundesnotarordnung) zu führen. Erfolgt die Verwahrung in Vollzug eines vom Notar in das Urkundenverzeichnis einzutragenden Amtsgeschäfts, soll der Notar im Verwahrungsverzeichnis auf die im Urkundenverzeichnis zu der Urkunde gespeicherten Daten verweisen, soweit diese auch in das Verwahrungsverzeichnis einzutragen wären.</w:t>
      </w:r>
    </w:p>
    <w:p>
      <w:r>
        <w:rPr>
          <w:color w:val="555555"/>
          <w:sz w:val="17"/>
        </w:rPr>
        <w:t xml:space="preserve">Zitiervorschlag: § 59a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https://recht.nulegal.eu/gesetze/BeurkG/59a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