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BeurkG — Antrag auf Verwahrung</w:t>
      </w:r>
    </w:p>
    <w:p>
      <w:r>
        <w:rPr>
          <w:color w:val="555555"/>
          <w:sz w:val="18"/>
        </w:rPr>
        <w:t xml:space="preserve">Beurkundungsgesetz</w:t>
      </w:r>
    </w:p>
    <w:p>
      <w:r>
        <w:rPr>
          <w:color w:val="555555"/>
          <w:sz w:val="18"/>
        </w:rPr>
        <w:t xml:space="preserve">Stand: 01.08.2022 (konsolidierte Textfassung, kein amtliches Inkrafttretensdatum)</w:t>
      </w:r>
    </w:p>
    <w:p>
      <w:r>
        <w:t xml:space="preserve">(1) Der Notar darf Bargeld zur Aufbewahrung oder zur Ablieferung an Dritte nicht entgegennehmen.</w:t>
      </w:r>
    </w:p>
    <w:p>
      <w:r>
        <w:t xml:space="preserve">(2) Der Notar darf Geld zur Verwahrung nur entgegennehmen, wenn</w:t>
      </w:r>
    </w:p>
    <w:p>
      <w:pPr>
        <w:ind w:left="420"/>
      </w:pPr>
      <w:r>
        <w:t xml:space="preserve">1. hierfür ein berechtigtes Sicherungsinteresse der am Verwahrungsgeschäft beteiligten Personen besteht,</w:t>
      </w:r>
    </w:p>
    <w:p>
      <w:pPr>
        <w:ind w:left="420"/>
      </w:pPr>
      <w:r>
        <w:t xml:space="preserve">2. ihm ein Antrag auf Verwahrung verbunden mit einer Verwahrungsanweisung vorliegt, in der hinsichtlich der Masse und ihrer Erträge der Anweisende, der Empfangsberechtigte sowie die zeitlichen und sachlichen Bedingungen der Verwahrung und die Auszahlungsvoraussetzungen bestimmt sind,</w:t>
      </w:r>
    </w:p>
    <w:p>
      <w:pPr>
        <w:ind w:left="420"/>
      </w:pPr>
      <w:r>
        <w:t xml:space="preserve">3. er den Verwahrungsantrag und die Verwahrungsanweisung angenommen hat.</w:t>
      </w:r>
    </w:p>
    <w:p>
      <w:r>
        <w:t xml:space="preserve">(3) Der Notar darf den Verwahrungsantrag nur annehmen, wenn die Verwahrungsanweisung den Bedürfnissen einer ordnungsgemäßen Geschäftsabwicklung und eines ordnungsgemäßen Vollzugs der Verwahrung sowie dem Sicherungsinteresse aller am Verwahrungsgeschäft beteiligten Personen genügt.</w:t>
      </w:r>
    </w:p>
    <w:p>
      <w:r>
        <w:t xml:space="preserve">(4) Die Verwahrungsanweisung sowie deren Änderung, Ergänzung oder Widerruf bedürfen der Schriftform.</w:t>
      </w:r>
    </w:p>
    <w:p>
      <w:r>
        <w:t xml:space="preserve">(5) Auf der Verwahrungsanweisung hat der Notar die Annahme mit Datum und Unterschrift zu vermerken, sofern die Verwahrungsanweisung nicht Gegenstand einer Niederschrift (§§ 8, 36) ist, die er selbst oder seine Notarvertretung aufgenommen hat.</w:t>
      </w:r>
    </w:p>
    <w:p>
      <w:r>
        <w:t xml:space="preserve">(6) Die Absätze 3 bis 5 gelten entsprechend für Treuhandaufträge, die dem Notar im Zusammenhang mit dem Vollzug des der Verwahrung zugrundeliegenden Geschäfts von Personen erteilt werden, die an diesem nicht beteiligt sind.</w:t>
      </w:r>
    </w:p>
    <w:p>
      <w:r>
        <w:rPr>
          <w:color w:val="555555"/>
          <w:sz w:val="17"/>
        </w:rPr>
        <w:t xml:space="preserve">Zitiervorschlag: § 57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