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BeurkG — Rechtsmittel</w:t>
      </w:r>
    </w:p>
    <w:p>
      <w:r>
        <w:rPr>
          <w:color w:val="555555"/>
          <w:sz w:val="18"/>
        </w:rPr>
        <w:t xml:space="preserve">Beurkundungsgesetz</w:t>
      </w:r>
    </w:p>
    <w:p>
      <w:r>
        <w:rPr>
          <w:color w:val="555555"/>
          <w:sz w:val="18"/>
        </w:rPr>
        <w:t xml:space="preserve">Stand: 01.08.2022 (konsolidierte Textfassung, kein amtliches Inkrafttretensdatum)</w:t>
      </w:r>
    </w:p>
    <w:p>
      <w:r>
        <w:t xml:space="preserve">(1) Gegen die Ablehnung der Erteilung der Vollstreckungsklausel oder einer Amtshandlung nach den §§ 45a, 46 und 51 sowie gegen die Ersetzung einer Urschrift ist die Beschwerde gegeben.</w:t>
      </w:r>
    </w:p>
    <w:p>
      <w:r>
        <w:t xml:space="preserve">(2) Für das Beschwerdeverfahren gelten die Vorschriften des Gesetzes über das Verfahren in Familiensachen und in den Angelegenheiten der freiwilligen Gerichtsbarkeit. Über die Beschwerde entscheidet eine Zivilkammer des Landgerichts, in dessen Bezirk die Stelle, gegen die sich die Beschwerde richtet, ihren Sitz hat.</w:t>
      </w:r>
    </w:p>
    <w:p>
      <w:r>
        <w:rPr>
          <w:color w:val="555555"/>
          <w:sz w:val="17"/>
        </w:rPr>
        <w:t xml:space="preserve">Zitiervorschlag: § 54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