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BeurkG — Einreichung beim Grundbuchamt oder Registergericht</w:t>
      </w:r>
    </w:p>
    <w:p>
      <w:r>
        <w:rPr>
          <w:color w:val="555555"/>
          <w:sz w:val="18"/>
        </w:rPr>
        <w:t xml:space="preserve">Beurkundungsgesetz</w:t>
      </w:r>
    </w:p>
    <w:p>
      <w:r>
        <w:rPr>
          <w:color w:val="555555"/>
          <w:sz w:val="18"/>
        </w:rPr>
        <w:t xml:space="preserve">Stand: 01.08.2022 (konsolidierte Textfassung, kein amtliches Inkrafttretensdatum)</w:t>
      </w:r>
    </w:p>
    <w:p>
      <w:r>
        <w:t xml:space="preserve">Sind Willenserklärungen beurkundet worden, die beim Grundbuchamt oder Registergericht einzureichen sind, so soll der Notar dies veranlassen, sobald die Urkunde eingereicht werden kann, es sei denn, daß alle Beteiligten gemeinsam etwas anderes verlangen; auf die mit einer Verzögerung verbundenen Gefahren soll der Notar hinweisen.</w:t>
      </w:r>
    </w:p>
    <w:p>
      <w:r>
        <w:rPr>
          <w:color w:val="555555"/>
          <w:sz w:val="17"/>
        </w:rPr>
        <w:t xml:space="preserve">Zitiervorschlag: § 53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