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BeurkG — Recht auf Ausfertigungen, Abschriften und Einsicht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Ausfertigungen können verlangen</w:t>
      </w:r>
    </w:p>
    <w:p>
      <w:pPr>
        <w:ind w:left="420"/>
      </w:pPr>
      <w:r>
        <w:t xml:space="preserve">1. bei Niederschriften über Willenserklärungen jeder, der eine Erklärung im eigenen Namen abgegeben hat oder in dessen Namen eine Erklärung abgegeben worden ist,</w:t>
      </w:r>
    </w:p>
    <w:p>
      <w:pPr>
        <w:ind w:left="420"/>
      </w:pPr>
      <w:r>
        <w:t xml:space="preserve">2. bei anderen Niederschriften jeder, der die Aufnahme der Urkunde beantragt hat,</w:t>
      </w:r>
    </w:p>
    <w:p>
      <w:r>
        <w:t xml:space="preserve">sowie die Rechtsnachfolger dieser Personen.</w:t>
      </w:r>
    </w:p>
    <w:p>
      <w:r>
        <w:t xml:space="preserve">(2) Die in Absatz 1 genannten Personen können gemeinsam in der Niederschrift oder durch besondere Erklärung gegenüber der zuständigen Stelle etwas anderes bestimmen.</w:t>
      </w:r>
    </w:p>
    <w:p>
      <w:r>
        <w:t xml:space="preserve">(3) Wer Ausfertigungen verlangen kann, ist auch berechtigt, einfache oder beglaubigte Abschriften zu verlangen und die Urschrift einzusehen.</w:t>
      </w:r>
    </w:p>
    <w:p>
      <w:r>
        <w:t xml:space="preserve">(4) Mitteilungspflichten, die auf Grund von Rechtsvorschriften gegenüber Gerichten oder Behörden bestehen, sowie das Recht auf Zugang zu Forschungszwecken nach § 18a der Bundesnotarordnung bleiben unberührt.</w:t>
      </w:r>
    </w:p>
    <w:p>
      <w:r>
        <w:rPr>
          <w:color w:val="555555"/>
          <w:sz w:val="17"/>
        </w:rPr>
        <w:t xml:space="preserve">Zitiervorschlag: § 51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