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 BeurkG — Urkundensprache</w:t>
      </w:r>
    </w:p>
    <w:p>
      <w:r>
        <w:rPr>
          <w:color w:val="555555"/>
          <w:sz w:val="18"/>
        </w:rPr>
        <w:t xml:space="preserve">Beurkundungsgesetz</w:t>
      </w:r>
    </w:p>
    <w:p>
      <w:r>
        <w:rPr>
          <w:color w:val="555555"/>
          <w:sz w:val="18"/>
        </w:rPr>
        <w:t xml:space="preserve">Stand: 01.08.2022 (konsolidierte Textfassung, kein amtliches Inkrafttretensdatum)</w:t>
      </w:r>
    </w:p>
    <w:p>
      <w:r>
        <w:t xml:space="preserve">(1) Urkunden werden in deutscher Sprache errichtet.</w:t>
      </w:r>
    </w:p>
    <w:p>
      <w:r>
        <w:t xml:space="preserve">(2) Der Notar kann auf Verlangen Urkunden auch in einer anderen Sprache errichten. Er soll dem Verlangen nur entsprechen, wenn er der fremden Sprache hinreichend kundig ist.</w:t>
      </w:r>
    </w:p>
    <w:p>
      <w:r>
        <w:rPr>
          <w:color w:val="555555"/>
          <w:sz w:val="17"/>
        </w:rPr>
        <w:t xml:space="preserve">Zitiervorschlag: § 5 BeurkG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https://recht.nulegal.eu/gesetze/BeurkG/5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