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45b BeurkG — Verwahrung und Aushändigung elektronischer Urkunden</w:t>
      </w:r>
    </w:p>
    <w:p>
      <w:r>
        <w:rPr>
          <w:color w:val="555555"/>
          <w:sz w:val="18"/>
        </w:rPr>
        <w:t xml:space="preserve">Beurkundungsgesetz</w:t>
      </w:r>
    </w:p>
    <w:p>
      <w:r>
        <w:rPr>
          <w:color w:val="555555"/>
          <w:sz w:val="18"/>
        </w:rPr>
        <w:t xml:space="preserve">Stand: 31.12.2025 (konsolidierte Textfassung, kein amtliches Inkrafttretensdatum)</w:t>
      </w:r>
    </w:p>
    <w:p>
      <w:r>
        <w:t xml:space="preserve">(1) Die nach § 8 Absatz 2, den §§ 16b und 36 Absatz 2 erstellten elektronischen Dokumente bleiben in der Verwahrung des Notars. Elektronische Vervielfältigungen dieses elektronischen Dokuments sollen nicht ausgehändigt werden.</w:t>
      </w:r>
    </w:p>
    <w:p>
      <w:r>
        <w:t xml:space="preserve">(2) Das nach § 39a erstellte elektronische Dokument bleibt nur dann in der Verwahrung des Notars, wenn die Verwahrung verlangt wird. Die Verwahrung kann nur verlangt werden, wenn das Dokument den nach § 35 Absatz 4 der Verordnung über die Führung notarieller Akten und Verzeichnisse zu beachtenden Vorgaben für die Einstellung elektronischer Dokumente in die elektronische Urkundensammlung entspricht. Elektronische Vervielfältigungen dieses elektronischen Dokuments können ausgehändigt werden. Wird die Verwahrung nicht verlangt, ist das nach § 39a erstellte elektronische Dokument auszuhändigen.</w:t>
      </w:r>
    </w:p>
    <w:p>
      <w:r>
        <w:rPr>
          <w:color w:val="555555"/>
          <w:sz w:val="17"/>
        </w:rPr>
        <w:t xml:space="preserve">Zitiervorschlag: § 45b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