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BeurkG — Urschrift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Die Urschrift der notariellen Urkunde bleibt, wenn sie nicht auszuhändigen ist, in der Verwahrung des Notars.</w:t>
      </w:r>
    </w:p>
    <w:p>
      <w:r>
        <w:t xml:space="preserve">(2) Wird die Urschrift der notariellen Urkunde nach § 56 in ein elektronisches Dokument übertragen und in der elektronischen Urkundensammlung verwahrt, steht die elektronische Fassung der Urschrift derjenigen in Papierform gleich.</w:t>
      </w:r>
    </w:p>
    <w:p>
      <w:r>
        <w:t xml:space="preserve">(3) Das nach § 8 Absatz 2, den §§ 16b, 36 Absatz 2 oder § 39a erstellte elektronische Dokument (elektronische Urkunde), das in der elektronischen Urkundensammlung verwahrt wird, gilt als Urschrift (elektronische Urschrift).</w:t>
      </w:r>
    </w:p>
    <w:p>
      <w:r>
        <w:rPr>
          <w:color w:val="555555"/>
          <w:sz w:val="17"/>
        </w:rPr>
        <w:t xml:space="preserve">Zitiervorschlag: § 45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