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BeurkG — Änderungen in den Urkunden</w:t>
      </w:r>
    </w:p>
    <w:p>
      <w:r>
        <w:rPr>
          <w:color w:val="555555"/>
          <w:sz w:val="18"/>
        </w:rPr>
        <w:t xml:space="preserve">Beurkundungsgesetz</w:t>
      </w:r>
    </w:p>
    <w:p>
      <w:r>
        <w:rPr>
          <w:color w:val="555555"/>
          <w:sz w:val="18"/>
        </w:rPr>
        <w:t xml:space="preserve">Stand: 31.12.2025 (konsolidierte Textfassung, kein amtliches Inkrafttretensdatum)</w:t>
      </w:r>
    </w:p>
    <w:p>
      <w:r>
        <w:t xml:space="preserve">(1) Zusätze und sonstige, nicht nur geringfügige Änderungen sollen am Schluss vor den Unterschriften oder in der Niederschrift vermerkt und im letzteren Fall von dem Notar am Rand besonders unterzeichnet werden, es sei denn, er versieht das Dokument mit seiner qualifizierten elektronischen Signatur. Ist der Niederschrift ein Schriftstück nach § 9 Abs. 1 Satz 2, den §§ 14, 37 Abs. 1 Satz 2 beigefügt, so brauchen Änderungen in dem beigefügten Schriftstück nicht unterzeichnet zu werden, wenn aus der Niederschrift hervorgeht, daß sie genehmigt worden sind.</w:t>
      </w:r>
    </w:p>
    <w:p>
      <w:r>
        <w:t xml:space="preserve">(2) Offensichtliche Unrichtigkeiten kann der Notar auch nach Abschluß der Niederschrift durch einen von ihm zu unterschreibenden Nachtragsvermerk richtigstellen. Der Nachtragsvermerk ist mit dem Datum der Richtigstellung zu versehen. Der Nachtragsvermerk ist am Schluß nach den Unterschriften oder auf einem besonderen, mit der Urkunde zu verbindenden Blatt niederzulegen. Wird die elektronische Fassung der Urschrift zum Zeitpunkt der Richtigstellung bereits in der elektronischen Urkundensammlung verwahrt, darf der Nachtragsvermerk nur noch auf einem gesonderten, mit der Urkunde zu verbindenden Blatt niedergelegt werden. Bei elektronischen Niederschriften ist der Nachtragsvermerk in einem gesonderten elektronischen Dokument niederzulegen, das vom Notar mit einer qualifizierten elektronischen Signatur zu versehen und zusammen mit der elektronischen Urschrift in der elektronischen Urkundensammlung zu verwahren ist; § 13a Absatz 4 Satz 1 und 2 und § 39a Absatz 2 Satz 1 gelten entsprechend.</w:t>
      </w:r>
    </w:p>
    <w:p>
      <w:r>
        <w:t xml:space="preserve">(3) Ergibt sich im übrigen nach Abschluß der Niederschrift die Notwendigkeit einer Änderung oder Berichtigung, so hat der Notar hierüber eine besondere Niederschrift aufzunehmen.</w:t>
      </w:r>
    </w:p>
    <w:p>
      <w:r>
        <w:rPr>
          <w:color w:val="555555"/>
          <w:sz w:val="17"/>
        </w:rPr>
        <w:t xml:space="preserve">Zitiervorschlag: § 44a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