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BeurkG — Beglaubigung einer qualifizierten elektronischen Signatur</w:t>
      </w:r>
    </w:p>
    <w:p>
      <w:r>
        <w:rPr>
          <w:color w:val="555555"/>
          <w:sz w:val="18"/>
        </w:rPr>
        <w:t xml:space="preserve">Beurkundungsgesetz</w:t>
      </w:r>
    </w:p>
    <w:p>
      <w:r>
        <w:rPr>
          <w:color w:val="555555"/>
          <w:sz w:val="18"/>
        </w:rPr>
        <w:t xml:space="preserve">Stand: 01.08.2022 (konsolidierte Textfassung, kein amtliches Inkrafttretensdatum)</w:t>
      </w:r>
    </w:p>
    <w:p>
      <w:r>
        <w:t xml:space="preserve">(1) Eine qualifizierte elektronische Signatur soll nur beglaubigt werden, wenn sie in Gegenwart des Notars oder mittels des von der Bundesnotarkammer nach § 78p der Bundesnotarordnung betriebenen Videokommunikationssystems anerkannt worden ist. Die Beglaubigung kann mittels Videokommunikation nur erfolgen, soweit dies durch Gesetz zugelassen ist.</w:t>
      </w:r>
    </w:p>
    <w:p>
      <w:r>
        <w:t xml:space="preserve">(2) Der Beglaubigungsvermerk muss die Person bezeichnen, welche die qualifizierte elektronische Signatur anerkannt hat. In dem Vermerk soll angegeben werden, ob die qualifizierte elektronische Signatur in Gegenwart des Notars oder mittels Videokommunikation anerkannt worden ist.</w:t>
      </w:r>
    </w:p>
    <w:p>
      <w:r>
        <w:t xml:space="preserve">(3) Bei der Beglaubigung einer qualifizierten elektronischen Signatur mittels Videokommunikation ist eine Signaturprüfung nach § 39a Absatz 3 nicht erforderlich.</w:t>
      </w:r>
    </w:p>
    <w:p>
      <w:r>
        <w:t xml:space="preserve">(4) § 10 Absatz 1, 2 und 3 Satz 1 und § 40 Absatz 2 und 5 gelten entsprechend. Im Falle der Beglaubigung mittels Videokommunikation gilt § 16c entsprechend.</w:t>
      </w:r>
    </w:p>
    <w:p>
      <w:r>
        <w:t xml:space="preserve">(5) Der Notar soll die Beglaubigung einer mittels Videokommunikation anerkannten qualifizierten elektronischen Signatur ablehnen, wenn er die Erfüllung seiner Amtspflichten auf diese Weise nicht gewährleisten kann, insbesondere wenn er sich auf diese Weise keine Gewissheit über die Person verschaffen kann, welche die qualifizierte elektronische Signatur anerkannt hat.</w:t>
      </w:r>
    </w:p>
    <w:p>
      <w:r>
        <w:rPr>
          <w:color w:val="555555"/>
          <w:sz w:val="17"/>
        </w:rPr>
        <w:t xml:space="preserve">Zitiervorschlag: § 40a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