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BeurkG — Eide, eidesstattliche Versicherungen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Bei der Abnahme von Eiden und bei der Aufnahme eidesstattlicher Versicherungen gelten die Vorschriften über die Beurkundung von Willenserklärungen entsprechend.</w:t>
      </w:r>
    </w:p>
    <w:p>
      <w:r>
        <w:t xml:space="preserve">(2) Der Notar soll über die Bedeutung des Eides oder der eidesstattlichen Versicherung belehren und dies in der Niederschrift vermerken.</w:t>
      </w:r>
    </w:p>
    <w:p>
      <w:r>
        <w:rPr>
          <w:color w:val="555555"/>
          <w:sz w:val="17"/>
        </w:rPr>
        <w:t xml:space="preserve">Zitiervorschlag: § 38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