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BeurkG — Übergabe einer Schrift</w:t>
      </w:r>
    </w:p>
    <w:p>
      <w:r>
        <w:rPr>
          <w:color w:val="555555"/>
          <w:sz w:val="18"/>
        </w:rPr>
        <w:t xml:space="preserve">Beurkundungsgesetz</w:t>
      </w:r>
    </w:p>
    <w:p>
      <w:r>
        <w:rPr>
          <w:color w:val="555555"/>
          <w:sz w:val="18"/>
        </w:rPr>
        <w:t xml:space="preserve">Stand: 01.08.2022 (konsolidierte Textfassung, kein amtliches Inkrafttretensdatum)</w:t>
      </w:r>
    </w:p>
    <w:p>
      <w:r>
        <w:t xml:space="preserve">Wird eine Verfügung von Todes wegen durch Übergabe einer Schrift errichtet, so muß die Niederschrift auch die Feststellung enthalten, daß die Schrift übergeben worden ist. Die Schrift soll derart gekennzeichnet werden, daß eine Verwechslung ausgeschlossen ist. In der Niederschrift soll vermerkt werden, ob die Schrift offen oder verschlossen übergeben worden ist. Von dem Inhalt einer offen übergebenen Schrift soll der Notar Kenntnis nehmen, sofern er der Sprache, in der die Schrift verfaßt ist, hinreichend kundig ist; § 17 ist anzuwenden. Die Schrift soll der Niederschrift beigefügt werden; einer Verlesung der Schrift bedarf es nicht.</w:t>
      </w:r>
    </w:p>
    <w:p>
      <w:r>
        <w:rPr>
          <w:color w:val="555555"/>
          <w:sz w:val="17"/>
        </w:rPr>
        <w:t xml:space="preserve">Zitiervorschlag: § 30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