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BeurkG — Verbot der Mitwirkung als Zeuge oder zweiter Notar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Als Zeuge oder zweiter Notar soll bei der Beurkundung nicht zugezogen werden, wer</w:t>
      </w:r>
    </w:p>
    <w:p>
      <w:pPr>
        <w:ind w:left="420"/>
      </w:pPr>
      <w:r>
        <w:t xml:space="preserve">1. selbst beteiligt ist oder durch einen Beteiligten vertreten wird,</w:t>
      </w:r>
    </w:p>
    <w:p>
      <w:pPr>
        <w:ind w:left="420"/>
      </w:pPr>
      <w:r>
        <w:t xml:space="preserve">2. aus einer zu beurkundenden Willenserklärung einen rechtlichen Vorteil erlangt,</w:t>
      </w:r>
    </w:p>
    <w:p>
      <w:pPr>
        <w:ind w:left="420"/>
      </w:pPr>
      <w:r>
        <w:t xml:space="preserve">3. mit dem Notar verheiratet ist,</w:t>
      </w:r>
    </w:p>
    <w:p>
      <w:pPr>
        <w:ind w:left="420"/>
      </w:pPr>
      <w:r>
        <w:t xml:space="preserve">3a. mit ihm eine Lebenspartnerschaft führt oder</w:t>
      </w:r>
    </w:p>
    <w:p>
      <w:pPr>
        <w:ind w:left="420"/>
      </w:pPr>
      <w:r>
        <w:t xml:space="preserve">4. mit ihm in gerader Linie verwandt ist oder war.</w:t>
      </w:r>
    </w:p>
    <w:p>
      <w:r>
        <w:t xml:space="preserve">(2) Als Zeuge soll bei der Beurkundung ferner nicht zugezogen werden, wer</w:t>
      </w:r>
    </w:p>
    <w:p>
      <w:pPr>
        <w:ind w:left="420"/>
      </w:pPr>
      <w:r>
        <w:t xml:space="preserve">1. zu dem Notar in einem ständigen Dienstverhältnis steht,</w:t>
      </w:r>
    </w:p>
    <w:p>
      <w:pPr>
        <w:ind w:left="420"/>
      </w:pPr>
      <w:r>
        <w:t xml:space="preserve">2. minderjährig ist,</w:t>
      </w:r>
    </w:p>
    <w:p>
      <w:pPr>
        <w:ind w:left="420"/>
      </w:pPr>
      <w:r>
        <w:t xml:space="preserve">3. geisteskrank oder geistesschwach ist,</w:t>
      </w:r>
    </w:p>
    <w:p>
      <w:pPr>
        <w:ind w:left="420"/>
      </w:pPr>
      <w:r>
        <w:t xml:space="preserve">4. nicht hinreichend zu hören, zu sprechen oder zu sehen vermag,</w:t>
      </w:r>
    </w:p>
    <w:p>
      <w:pPr>
        <w:ind w:left="420"/>
      </w:pPr>
      <w:r>
        <w:t xml:space="preserve">5. nicht schreiben kann oder</w:t>
      </w:r>
    </w:p>
    <w:p>
      <w:pPr>
        <w:ind w:left="420"/>
      </w:pPr>
      <w:r>
        <w:t xml:space="preserve">6. der deutschen Sprache nicht hinreichend kundig ist; dies gilt nicht im Falle des § 5 Abs. 2, wenn der Zeuge der Sprache der Niederschrift hinreichend kundig ist.</w:t>
      </w:r>
    </w:p>
    <w:p>
      <w:r>
        <w:rPr>
          <w:color w:val="555555"/>
          <w:sz w:val="17"/>
        </w:rPr>
        <w:t xml:space="preserve">Zitiervorschlag: § 26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