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BeurkG — Schreibunfähige</w:t>
      </w:r>
    </w:p>
    <w:p>
      <w:r>
        <w:rPr>
          <w:color w:val="555555"/>
          <w:sz w:val="18"/>
        </w:rPr>
        <w:t xml:space="preserve">Beurkundungsgesetz</w:t>
      </w:r>
    </w:p>
    <w:p>
      <w:r>
        <w:rPr>
          <w:color w:val="555555"/>
          <w:sz w:val="18"/>
        </w:rPr>
        <w:t xml:space="preserve">Stand: 01.08.2022 (konsolidierte Textfassung, kein amtliches Inkrafttretensdatum)</w:t>
      </w:r>
    </w:p>
    <w:p>
      <w:r>
        <w:t xml:space="preserve">Vermag ein Beteiligter nach seinen Angaben oder nach der Überzeugung des Notars seinen Namen nicht zu schreiben, so muß bei dem Vorlesen und der Genehmigung ein Zeuge oder ein zweiter Notar zugezogen werden, wenn nicht bereits nach § 22 ein Zeuge oder ein zweiter Notar zugezogen worden ist. Diese Tatsachen sollen in der Niederschrift festgestellt werden. Die Niederschrift muß von dem Zeugen oder dem zweiten Notar unterschrieben werden.</w:t>
      </w:r>
    </w:p>
    <w:p>
      <w:r>
        <w:rPr>
          <w:color w:val="555555"/>
          <w:sz w:val="17"/>
        </w:rPr>
        <w:t xml:space="preserve">Zitiervorschlag: § 25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